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57" w:rsidRDefault="00C65657" w:rsidP="008166D2">
      <w:pPr>
        <w:jc w:val="both"/>
        <w:rPr>
          <w:rFonts w:ascii="Arial" w:hAnsi="Arial" w:cs="Arial"/>
          <w:color w:val="1F497D"/>
        </w:rPr>
      </w:pPr>
      <w:r>
        <w:rPr>
          <w:rFonts w:ascii="Arial" w:hAnsi="Arial" w:cs="Arial"/>
          <w:noProof/>
          <w:color w:val="1F497D"/>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-359410</wp:posOffset>
            </wp:positionV>
            <wp:extent cx="2620800" cy="1144800"/>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0800" cy="1144800"/>
                    </a:xfrm>
                    <a:prstGeom prst="rect">
                      <a:avLst/>
                    </a:prstGeom>
                    <a:noFill/>
                  </pic:spPr>
                </pic:pic>
              </a:graphicData>
            </a:graphic>
          </wp:anchor>
        </w:drawing>
      </w:r>
    </w:p>
    <w:p w:rsidR="00C65657" w:rsidRDefault="00C65657" w:rsidP="008166D2">
      <w:pPr>
        <w:jc w:val="both"/>
        <w:rPr>
          <w:rFonts w:ascii="Arial" w:hAnsi="Arial" w:cs="Arial"/>
          <w:color w:val="1F497D"/>
        </w:rPr>
      </w:pPr>
    </w:p>
    <w:p w:rsidR="008166D2" w:rsidRDefault="008166D2" w:rsidP="008166D2">
      <w:pPr>
        <w:jc w:val="both"/>
        <w:rPr>
          <w:rFonts w:ascii="Arial" w:hAnsi="Arial" w:cs="Arial"/>
          <w:color w:val="1F497D"/>
        </w:rPr>
      </w:pPr>
    </w:p>
    <w:p w:rsidR="008166D2" w:rsidRDefault="008166D2" w:rsidP="008166D2">
      <w:pPr>
        <w:jc w:val="both"/>
        <w:rPr>
          <w:rFonts w:ascii="Arial" w:hAnsi="Arial" w:cs="Arial"/>
          <w:color w:val="1F497D"/>
        </w:rPr>
      </w:pPr>
    </w:p>
    <w:p w:rsidR="008166D2" w:rsidRDefault="008166D2" w:rsidP="008166D2">
      <w:pPr>
        <w:jc w:val="both"/>
        <w:rPr>
          <w:rFonts w:ascii="Arial" w:hAnsi="Arial" w:cs="Arial"/>
          <w:color w:val="1F497D"/>
        </w:rPr>
      </w:pPr>
    </w:p>
    <w:p w:rsidR="00EF7E17" w:rsidRPr="008166D2" w:rsidRDefault="008166D2" w:rsidP="008166D2">
      <w:pPr>
        <w:jc w:val="center"/>
        <w:rPr>
          <w:rFonts w:ascii="Arial" w:hAnsi="Arial" w:cs="Arial"/>
          <w:b/>
          <w:bCs/>
          <w:sz w:val="32"/>
          <w:szCs w:val="32"/>
        </w:rPr>
      </w:pPr>
      <w:r w:rsidRPr="008166D2">
        <w:rPr>
          <w:rFonts w:ascii="Arial" w:hAnsi="Arial" w:cs="Arial"/>
          <w:b/>
          <w:bCs/>
          <w:sz w:val="32"/>
          <w:szCs w:val="32"/>
        </w:rPr>
        <w:t>L’ARS</w:t>
      </w:r>
      <w:r w:rsidR="00EF7E17" w:rsidRPr="008166D2">
        <w:rPr>
          <w:rFonts w:ascii="Arial" w:hAnsi="Arial" w:cs="Arial"/>
          <w:b/>
          <w:bCs/>
          <w:sz w:val="32"/>
          <w:szCs w:val="32"/>
        </w:rPr>
        <w:t xml:space="preserve"> LA REUNION RECRUTE SON DIRECT</w:t>
      </w:r>
      <w:r w:rsidR="00EF7E17" w:rsidRPr="008166D2">
        <w:rPr>
          <w:rFonts w:ascii="Arial" w:hAnsi="Arial" w:cs="Arial"/>
          <w:b/>
          <w:bCs/>
          <w:color w:val="000000"/>
          <w:sz w:val="32"/>
          <w:szCs w:val="32"/>
        </w:rPr>
        <w:t>EUR/SA DIRECTRICE</w:t>
      </w:r>
      <w:r w:rsidR="00EF7E17" w:rsidRPr="008166D2">
        <w:rPr>
          <w:rFonts w:ascii="Arial" w:hAnsi="Arial" w:cs="Arial"/>
          <w:b/>
          <w:bCs/>
          <w:sz w:val="32"/>
          <w:szCs w:val="32"/>
        </w:rPr>
        <w:t xml:space="preserve"> DE LA REGULATION ET DE LA GESTION DE L’OFFRE DE </w:t>
      </w:r>
      <w:r w:rsidRPr="008166D2">
        <w:rPr>
          <w:rFonts w:ascii="Arial" w:hAnsi="Arial" w:cs="Arial"/>
          <w:b/>
          <w:bCs/>
          <w:sz w:val="32"/>
          <w:szCs w:val="32"/>
        </w:rPr>
        <w:t>SANTE</w:t>
      </w:r>
    </w:p>
    <w:p w:rsidR="008166D2" w:rsidRPr="008166D2" w:rsidRDefault="008166D2" w:rsidP="008166D2">
      <w:pPr>
        <w:jc w:val="both"/>
        <w:rPr>
          <w:rFonts w:ascii="Arial" w:hAnsi="Arial" w:cs="Arial"/>
          <w:b/>
          <w:bCs/>
        </w:rPr>
      </w:pPr>
    </w:p>
    <w:p w:rsidR="00EF7E17" w:rsidRDefault="00EF7E17" w:rsidP="008166D2">
      <w:pPr>
        <w:jc w:val="both"/>
        <w:rPr>
          <w:rFonts w:ascii="Arial" w:hAnsi="Arial" w:cs="Arial"/>
        </w:rPr>
      </w:pPr>
      <w:r w:rsidRPr="008166D2">
        <w:rPr>
          <w:rFonts w:ascii="Arial" w:hAnsi="Arial" w:cs="Arial"/>
        </w:rPr>
        <w:t>Emploi de cadre dirigeant (membre du Comex de l’ARS de La Réunion) pouvant être occupé par détachement de l’une des fonctions publiques,  contrat de droit public ou de l'assurance maladie.</w:t>
      </w:r>
    </w:p>
    <w:p w:rsidR="008166D2" w:rsidRPr="008166D2" w:rsidRDefault="008166D2" w:rsidP="008166D2">
      <w:pPr>
        <w:jc w:val="both"/>
        <w:rPr>
          <w:rFonts w:ascii="Arial" w:hAnsi="Arial" w:cs="Arial"/>
        </w:rPr>
      </w:pPr>
    </w:p>
    <w:p w:rsidR="00EF7E17" w:rsidRPr="008166D2" w:rsidRDefault="00EF7E17" w:rsidP="008166D2">
      <w:pPr>
        <w:jc w:val="both"/>
        <w:rPr>
          <w:rFonts w:ascii="Arial" w:hAnsi="Arial" w:cs="Arial"/>
          <w:b/>
        </w:rPr>
      </w:pPr>
      <w:r w:rsidRPr="008166D2">
        <w:rPr>
          <w:rFonts w:ascii="Arial" w:hAnsi="Arial" w:cs="Arial"/>
          <w:b/>
          <w:u w:val="single"/>
        </w:rPr>
        <w:t>Mission générale</w:t>
      </w:r>
      <w:r w:rsidRPr="008166D2">
        <w:rPr>
          <w:rFonts w:ascii="Arial" w:hAnsi="Arial" w:cs="Arial"/>
          <w:b/>
        </w:rPr>
        <w:t> :</w:t>
      </w:r>
    </w:p>
    <w:p w:rsidR="00EF7E17" w:rsidRDefault="00EF7E17" w:rsidP="008166D2">
      <w:pPr>
        <w:jc w:val="both"/>
        <w:rPr>
          <w:rFonts w:ascii="Arial" w:hAnsi="Arial" w:cs="Arial"/>
        </w:rPr>
      </w:pPr>
      <w:r w:rsidRPr="008166D2">
        <w:rPr>
          <w:rFonts w:ascii="Arial" w:hAnsi="Arial" w:cs="Arial"/>
        </w:rPr>
        <w:t>Il/elle pilote la direction en charge des missions régaliennes de l'agence vis-à-vis des opérateurs du champ sanitaire ou du médico-social : autorisation des activités, contractualisation, allocation de ressources, examen et approbation des budgets. Il est ainsi en charge d’une direction composée d'un directeur adjoint et de 22 collaborateurs (9 A, 10 B et 3 C).</w:t>
      </w:r>
    </w:p>
    <w:p w:rsidR="008166D2" w:rsidRPr="008166D2" w:rsidRDefault="008166D2" w:rsidP="008166D2">
      <w:pPr>
        <w:jc w:val="both"/>
        <w:rPr>
          <w:rFonts w:ascii="Arial" w:hAnsi="Arial" w:cs="Arial"/>
        </w:rPr>
      </w:pPr>
    </w:p>
    <w:p w:rsidR="00EF7E17" w:rsidRDefault="00EF7E17" w:rsidP="008166D2">
      <w:pPr>
        <w:jc w:val="both"/>
        <w:rPr>
          <w:rFonts w:ascii="Arial" w:hAnsi="Arial" w:cs="Arial"/>
          <w:b/>
        </w:rPr>
      </w:pPr>
      <w:r w:rsidRPr="008166D2">
        <w:rPr>
          <w:rFonts w:ascii="Arial" w:hAnsi="Arial" w:cs="Arial"/>
          <w:b/>
          <w:u w:val="single"/>
        </w:rPr>
        <w:t>Missions permanentes et spécifiques</w:t>
      </w:r>
      <w:r w:rsidRPr="008166D2">
        <w:rPr>
          <w:rFonts w:ascii="Arial" w:hAnsi="Arial" w:cs="Arial"/>
          <w:b/>
        </w:rPr>
        <w:t> :</w:t>
      </w:r>
    </w:p>
    <w:p w:rsidR="00EF7E17" w:rsidRPr="008166D2" w:rsidRDefault="00C65657" w:rsidP="008166D2">
      <w:pPr>
        <w:jc w:val="both"/>
        <w:rPr>
          <w:rFonts w:ascii="Arial" w:hAnsi="Arial" w:cs="Arial"/>
        </w:rPr>
      </w:pPr>
      <w:r w:rsidRPr="008166D2">
        <w:rPr>
          <w:rFonts w:ascii="Arial" w:hAnsi="Arial" w:cs="Arial"/>
        </w:rPr>
        <w:t xml:space="preserve">Le directeur/la directrice </w:t>
      </w:r>
      <w:r w:rsidR="00EF7E17" w:rsidRPr="008166D2">
        <w:rPr>
          <w:rFonts w:ascii="Arial" w:hAnsi="Arial" w:cs="Arial"/>
        </w:rPr>
        <w:t>anime et coordonne le dialogue de gestion avec l'ensemble des établissements de santé (publics et privés) et les établissements de soins et médico-sociaux, pour la validation des projets d'établissement et/ou de GHT, ou de GCS, en articulation étroite avec le projet régional de santé.</w:t>
      </w:r>
    </w:p>
    <w:p w:rsidR="00EF7E17" w:rsidRPr="008166D2" w:rsidRDefault="00EF7E17" w:rsidP="008166D2">
      <w:pPr>
        <w:jc w:val="both"/>
        <w:rPr>
          <w:rFonts w:ascii="Arial" w:hAnsi="Arial" w:cs="Arial"/>
        </w:rPr>
      </w:pPr>
      <w:r w:rsidRPr="008166D2">
        <w:rPr>
          <w:rFonts w:ascii="Arial" w:hAnsi="Arial" w:cs="Arial"/>
        </w:rPr>
        <w:t>Il/elle assure les fonctions de conseil, contrôle et tutelle, pour les questions financières (l’EPRD, PGFP, compte financier…) pour l'ensemble des opérateurs du c</w:t>
      </w:r>
      <w:r w:rsidR="00ED118A">
        <w:rPr>
          <w:rFonts w:ascii="Arial" w:hAnsi="Arial" w:cs="Arial"/>
        </w:rPr>
        <w:t>hamp sanitaire et médico-social.</w:t>
      </w:r>
    </w:p>
    <w:p w:rsidR="00EF7E17" w:rsidRPr="008166D2" w:rsidRDefault="00EF7E17" w:rsidP="008166D2">
      <w:pPr>
        <w:jc w:val="both"/>
        <w:rPr>
          <w:rFonts w:ascii="Arial" w:hAnsi="Arial" w:cs="Arial"/>
        </w:rPr>
      </w:pPr>
      <w:r w:rsidRPr="008166D2">
        <w:rPr>
          <w:rFonts w:ascii="Arial" w:hAnsi="Arial" w:cs="Arial"/>
        </w:rPr>
        <w:t>Il/elle a la responsabilité de l'allocation des ressources attribuées, dans le cadre des MIGAC ou du fonds d'intervention régional, aux bénéfices des différents opérateurs (établissements de santé, et médico-sociaux, associations gestionnaires, réseaux de santé, notamment).</w:t>
      </w:r>
    </w:p>
    <w:p w:rsidR="00EF7E17" w:rsidRPr="008166D2" w:rsidRDefault="00EF7E17" w:rsidP="008166D2">
      <w:pPr>
        <w:jc w:val="both"/>
        <w:rPr>
          <w:rFonts w:ascii="Arial" w:hAnsi="Arial" w:cs="Arial"/>
        </w:rPr>
      </w:pPr>
      <w:r w:rsidRPr="008166D2">
        <w:rPr>
          <w:rFonts w:ascii="Arial" w:hAnsi="Arial" w:cs="Arial"/>
        </w:rPr>
        <w:t>Il/elle assure, pour le compte de l'agence, la négociation puis le suivi de la mise en œuvre des contrats d'objectifs et de moyens (CPOM), dans leur dimension stratégique, pour ce qui concerne l'évolution de l'offre de services et des prestations comme financières.</w:t>
      </w:r>
    </w:p>
    <w:p w:rsidR="00EF7E17" w:rsidRPr="008166D2" w:rsidRDefault="00C65657" w:rsidP="008166D2">
      <w:pPr>
        <w:jc w:val="both"/>
        <w:rPr>
          <w:rFonts w:ascii="Arial" w:hAnsi="Arial" w:cs="Arial"/>
        </w:rPr>
      </w:pPr>
      <w:r>
        <w:rPr>
          <w:rFonts w:ascii="Arial" w:hAnsi="Arial" w:cs="Arial"/>
        </w:rPr>
        <w:t>Il/elle</w:t>
      </w:r>
      <w:r w:rsidR="00EF7E17" w:rsidRPr="008166D2">
        <w:rPr>
          <w:rFonts w:ascii="Arial" w:hAnsi="Arial" w:cs="Arial"/>
        </w:rPr>
        <w:t xml:space="preserve"> représente la direction générale de l’ARS aux conseils de surveillances des établissements de santé, représente la direction générale pour l'animation des travaux de la Commission Spécialisée pour l’Offre de Soins.</w:t>
      </w:r>
    </w:p>
    <w:p w:rsidR="00EF7E17" w:rsidRPr="008166D2" w:rsidRDefault="00EF7E17" w:rsidP="008166D2">
      <w:pPr>
        <w:jc w:val="both"/>
        <w:rPr>
          <w:rFonts w:ascii="Arial" w:hAnsi="Arial" w:cs="Arial"/>
        </w:rPr>
      </w:pPr>
      <w:r w:rsidRPr="008166D2">
        <w:rPr>
          <w:rFonts w:ascii="Arial" w:hAnsi="Arial" w:cs="Arial"/>
        </w:rPr>
        <w:t>Par délégation il/elle peut assurer tels que, la présidence de commissions permanentes, telle que Commission d’activité libérale COmité Départemental de l’Aide Médicale Urgente de la Permanence des Soins et des transports sanitaires.</w:t>
      </w:r>
    </w:p>
    <w:p w:rsidR="00EF7E17" w:rsidRDefault="00EF7E17" w:rsidP="008166D2">
      <w:pPr>
        <w:jc w:val="both"/>
        <w:rPr>
          <w:rFonts w:ascii="Arial" w:hAnsi="Arial" w:cs="Arial"/>
        </w:rPr>
      </w:pPr>
      <w:r w:rsidRPr="008166D2">
        <w:rPr>
          <w:rFonts w:ascii="Arial" w:hAnsi="Arial" w:cs="Arial"/>
        </w:rPr>
        <w:t>Il/elle contribue aux astreintes de direction administrative de semaine et de WE.</w:t>
      </w:r>
    </w:p>
    <w:p w:rsidR="008166D2" w:rsidRPr="008166D2" w:rsidRDefault="008166D2" w:rsidP="008166D2">
      <w:pPr>
        <w:jc w:val="both"/>
        <w:rPr>
          <w:rFonts w:ascii="Arial" w:hAnsi="Arial" w:cs="Arial"/>
        </w:rPr>
      </w:pPr>
    </w:p>
    <w:p w:rsidR="00EF7E17" w:rsidRDefault="00EF7E17" w:rsidP="008166D2">
      <w:pPr>
        <w:jc w:val="both"/>
        <w:rPr>
          <w:rFonts w:ascii="Arial" w:hAnsi="Arial" w:cs="Arial"/>
          <w:b/>
          <w:color w:val="000000"/>
          <w:u w:val="single"/>
        </w:rPr>
      </w:pPr>
      <w:r w:rsidRPr="008166D2">
        <w:rPr>
          <w:rFonts w:ascii="Arial" w:hAnsi="Arial" w:cs="Arial"/>
          <w:b/>
          <w:u w:val="single"/>
        </w:rPr>
        <w:t>Compétences</w:t>
      </w:r>
      <w:r w:rsidRPr="008166D2">
        <w:rPr>
          <w:rFonts w:ascii="Arial" w:hAnsi="Arial" w:cs="Arial"/>
          <w:b/>
          <w:color w:val="000000"/>
          <w:u w:val="single"/>
        </w:rPr>
        <w:t xml:space="preserve"> / Expérience :</w:t>
      </w:r>
    </w:p>
    <w:p w:rsidR="00EF7E17" w:rsidRDefault="00EF7E17" w:rsidP="008166D2">
      <w:pPr>
        <w:jc w:val="both"/>
        <w:rPr>
          <w:rFonts w:ascii="Arial" w:hAnsi="Arial" w:cs="Arial"/>
        </w:rPr>
      </w:pPr>
      <w:r w:rsidRPr="008166D2">
        <w:rPr>
          <w:rFonts w:ascii="Arial" w:hAnsi="Arial" w:cs="Arial"/>
        </w:rPr>
        <w:t>Profil de cadre dirigeant expert dans les domaines de la Santé Publique, type Inspecteur de l’action sanitaire et sociale ou directeur d’hôpital, avec une bonne connaissance du milieu  médico-social, des qualités relationnelles avérées et le sens de la négociation</w:t>
      </w:r>
      <w:r w:rsidR="008166D2">
        <w:rPr>
          <w:rFonts w:ascii="Arial" w:hAnsi="Arial" w:cs="Arial"/>
        </w:rPr>
        <w:t>.</w:t>
      </w:r>
    </w:p>
    <w:p w:rsidR="008166D2" w:rsidRPr="008166D2" w:rsidRDefault="008166D2" w:rsidP="008166D2">
      <w:pPr>
        <w:jc w:val="both"/>
        <w:rPr>
          <w:rFonts w:ascii="Arial" w:hAnsi="Arial" w:cs="Arial"/>
        </w:rPr>
      </w:pPr>
    </w:p>
    <w:p w:rsidR="00EF7E17" w:rsidRDefault="00EF7E17" w:rsidP="008166D2">
      <w:pPr>
        <w:spacing w:line="252" w:lineRule="auto"/>
        <w:jc w:val="both"/>
        <w:rPr>
          <w:rFonts w:ascii="Arial" w:hAnsi="Arial" w:cs="Arial"/>
          <w:b/>
          <w:u w:val="single"/>
        </w:rPr>
      </w:pPr>
      <w:r w:rsidRPr="008166D2">
        <w:rPr>
          <w:rFonts w:ascii="Arial" w:hAnsi="Arial" w:cs="Arial"/>
          <w:b/>
          <w:u w:val="single"/>
        </w:rPr>
        <w:t>Rémunération :</w:t>
      </w:r>
    </w:p>
    <w:p w:rsidR="00EF7E17" w:rsidRPr="008166D2" w:rsidRDefault="00EF7E17" w:rsidP="008166D2">
      <w:pPr>
        <w:spacing w:line="252" w:lineRule="auto"/>
        <w:jc w:val="both"/>
        <w:rPr>
          <w:rFonts w:ascii="Arial" w:hAnsi="Arial" w:cs="Arial"/>
        </w:rPr>
      </w:pPr>
      <w:r w:rsidRPr="008166D2">
        <w:rPr>
          <w:rFonts w:ascii="Arial" w:hAnsi="Arial" w:cs="Arial"/>
        </w:rPr>
        <w:t>La rémunération brute annuelle dépendra pour les fonctionnaires de leur classement dans leur grille indiciaire actuelle et pour les UCANSS sous convention collective, du niveau de recrutement demandé. Pour les contractuels de droit public, elle dépendra  de l’expérience et du poste occupé ainsi que de l’ancienneté sur un poste similaire.</w:t>
      </w:r>
    </w:p>
    <w:p w:rsidR="00EF7E17" w:rsidRPr="008166D2" w:rsidRDefault="00EF7E17" w:rsidP="008166D2">
      <w:pPr>
        <w:spacing w:line="252" w:lineRule="auto"/>
        <w:jc w:val="both"/>
        <w:rPr>
          <w:rFonts w:ascii="Arial" w:hAnsi="Arial" w:cs="Arial"/>
        </w:rPr>
      </w:pPr>
      <w:r w:rsidRPr="008166D2">
        <w:rPr>
          <w:rFonts w:ascii="Arial" w:hAnsi="Arial" w:cs="Arial"/>
        </w:rPr>
        <w:lastRenderedPageBreak/>
        <w:t xml:space="preserve">A </w:t>
      </w:r>
      <w:r w:rsidR="008166D2" w:rsidRPr="008166D2">
        <w:rPr>
          <w:rFonts w:ascii="Arial" w:hAnsi="Arial" w:cs="Arial"/>
        </w:rPr>
        <w:t>minima,</w:t>
      </w:r>
      <w:r w:rsidRPr="008166D2">
        <w:rPr>
          <w:rFonts w:ascii="Arial" w:hAnsi="Arial" w:cs="Arial"/>
        </w:rPr>
        <w:t xml:space="preserve"> le niveau de rémunération détenu au moment de la candidature est garanti augmenté, le cas échéant, des majorations de rémunérations liées à l’exercice outre-mer (pour les agents de la fonction publique, la majoration est à ce jour fixée à 35% et l’indexation à 13.8% ; pour les agents UCANSS, majoration de la valeur du point, application des protocoles spécifiques des établissement</w:t>
      </w:r>
      <w:r w:rsidR="008166D2">
        <w:rPr>
          <w:rFonts w:ascii="Arial" w:hAnsi="Arial" w:cs="Arial"/>
        </w:rPr>
        <w:t>s</w:t>
      </w:r>
      <w:r w:rsidRPr="008166D2">
        <w:rPr>
          <w:rFonts w:ascii="Arial" w:hAnsi="Arial" w:cs="Arial"/>
        </w:rPr>
        <w:t xml:space="preserve"> de La Réunion et application des mesures du protocole national UCANSS). </w:t>
      </w:r>
    </w:p>
    <w:p w:rsidR="00EF7E17" w:rsidRDefault="00EF7E17" w:rsidP="008166D2">
      <w:pPr>
        <w:jc w:val="both"/>
        <w:rPr>
          <w:rFonts w:ascii="Arial" w:hAnsi="Arial" w:cs="Arial"/>
        </w:rPr>
      </w:pPr>
      <w:r w:rsidRPr="008166D2">
        <w:rPr>
          <w:rFonts w:ascii="Arial" w:hAnsi="Arial" w:cs="Arial"/>
        </w:rPr>
        <w:t xml:space="preserve">Pour plus de renseignement, la fiche de poste complète est consultable </w:t>
      </w:r>
      <w:r w:rsidR="00C65657">
        <w:rPr>
          <w:rFonts w:ascii="Arial" w:hAnsi="Arial" w:cs="Arial"/>
        </w:rPr>
        <w:t xml:space="preserve">sur la place de l’emploi public sous la référence </w:t>
      </w:r>
      <w:r w:rsidR="00C65657" w:rsidRPr="00C65657">
        <w:rPr>
          <w:rFonts w:ascii="Arial" w:hAnsi="Arial" w:cs="Arial"/>
        </w:rPr>
        <w:t>2020-5043</w:t>
      </w:r>
      <w:r w:rsidR="001F2CC5">
        <w:rPr>
          <w:rFonts w:ascii="Arial" w:hAnsi="Arial" w:cs="Arial"/>
        </w:rPr>
        <w:t>95</w:t>
      </w:r>
      <w:bookmarkStart w:id="0" w:name="_GoBack"/>
      <w:bookmarkEnd w:id="0"/>
      <w:r w:rsidR="00C65657">
        <w:rPr>
          <w:rFonts w:ascii="Arial" w:hAnsi="Arial" w:cs="Arial"/>
        </w:rPr>
        <w:t xml:space="preserve">ou en cliquant sur le lien suivant </w:t>
      </w:r>
      <w:r w:rsidRPr="008166D2">
        <w:rPr>
          <w:rFonts w:ascii="Arial" w:hAnsi="Arial" w:cs="Arial"/>
        </w:rPr>
        <w:t>:</w:t>
      </w:r>
    </w:p>
    <w:p w:rsidR="00742425" w:rsidRDefault="008C4424" w:rsidP="00742425">
      <w:pPr>
        <w:jc w:val="center"/>
        <w:rPr>
          <w:rFonts w:ascii="Arial" w:hAnsi="Arial" w:cs="Arial"/>
          <w:color w:val="000000"/>
        </w:rPr>
      </w:pPr>
      <w:hyperlink r:id="rId5" w:history="1">
        <w:r w:rsidR="00742425" w:rsidRPr="00742425">
          <w:rPr>
            <w:rStyle w:val="Lienhypertexte"/>
            <w:rFonts w:ascii="Arial" w:hAnsi="Arial" w:cs="Arial"/>
            <w:sz w:val="32"/>
            <w:szCs w:val="32"/>
          </w:rPr>
          <w:t>FDP Dir DRGOS</w:t>
        </w:r>
      </w:hyperlink>
    </w:p>
    <w:p w:rsidR="00742425" w:rsidRDefault="00EF7E17" w:rsidP="00ED118A">
      <w:pPr>
        <w:jc w:val="center"/>
        <w:rPr>
          <w:rFonts w:ascii="Arial" w:hAnsi="Arial" w:cs="Arial"/>
          <w:b/>
          <w:u w:val="single"/>
        </w:rPr>
      </w:pPr>
      <w:r w:rsidRPr="008166D2">
        <w:rPr>
          <w:rFonts w:ascii="Arial" w:hAnsi="Arial" w:cs="Arial"/>
          <w:color w:val="000000"/>
        </w:rPr>
        <w:t xml:space="preserve">            </w:t>
      </w:r>
    </w:p>
    <w:p w:rsidR="00EF7E17" w:rsidRDefault="00EF7E17" w:rsidP="008166D2">
      <w:pPr>
        <w:jc w:val="both"/>
        <w:rPr>
          <w:rFonts w:ascii="Arial" w:hAnsi="Arial" w:cs="Arial"/>
          <w:b/>
          <w:u w:val="single"/>
        </w:rPr>
      </w:pPr>
      <w:r w:rsidRPr="008166D2">
        <w:rPr>
          <w:rFonts w:ascii="Arial" w:hAnsi="Arial" w:cs="Arial"/>
          <w:b/>
          <w:u w:val="single"/>
        </w:rPr>
        <w:t>Candidature :</w:t>
      </w:r>
    </w:p>
    <w:p w:rsidR="008166D2" w:rsidRDefault="00EF7E17" w:rsidP="008166D2">
      <w:pPr>
        <w:jc w:val="both"/>
        <w:rPr>
          <w:rFonts w:ascii="Arial" w:hAnsi="Arial" w:cs="Arial"/>
        </w:rPr>
      </w:pPr>
      <w:r w:rsidRPr="008166D2">
        <w:rPr>
          <w:rFonts w:ascii="Arial" w:hAnsi="Arial" w:cs="Arial"/>
        </w:rPr>
        <w:t>Candidature composée d’un CV et d’une lettre de motivation à transmettre</w:t>
      </w:r>
      <w:r w:rsidRPr="008166D2">
        <w:rPr>
          <w:rFonts w:ascii="Arial" w:hAnsi="Arial" w:cs="Arial"/>
          <w:b/>
          <w:bCs/>
          <w:color w:val="000000"/>
          <w:u w:val="single"/>
        </w:rPr>
        <w:t>avant le 27 décembre 2020</w:t>
      </w:r>
      <w:r w:rsidRPr="008166D2">
        <w:rPr>
          <w:rFonts w:ascii="Arial" w:hAnsi="Arial" w:cs="Arial"/>
        </w:rPr>
        <w:t xml:space="preserve"> à la Direction Générale :</w:t>
      </w:r>
    </w:p>
    <w:p w:rsidR="008166D2" w:rsidRDefault="008166D2" w:rsidP="008166D2">
      <w:pPr>
        <w:jc w:val="both"/>
        <w:rPr>
          <w:rFonts w:ascii="Arial" w:hAnsi="Arial" w:cs="Arial"/>
        </w:rPr>
      </w:pPr>
    </w:p>
    <w:p w:rsidR="00EF7E17" w:rsidRDefault="008C4424" w:rsidP="008166D2">
      <w:pPr>
        <w:jc w:val="center"/>
        <w:rPr>
          <w:rStyle w:val="Lienhypertexte"/>
          <w:rFonts w:ascii="Arial" w:hAnsi="Arial" w:cs="Arial"/>
        </w:rPr>
      </w:pPr>
      <w:hyperlink r:id="rId6" w:history="1">
        <w:r w:rsidR="00EF7E17" w:rsidRPr="008166D2">
          <w:rPr>
            <w:rStyle w:val="Lienhypertexte"/>
            <w:rFonts w:ascii="Arial" w:hAnsi="Arial" w:cs="Arial"/>
          </w:rPr>
          <w:t>martine.ladoucette@ars.sante.fr</w:t>
        </w:r>
      </w:hyperlink>
    </w:p>
    <w:p w:rsidR="008166D2" w:rsidRPr="008166D2" w:rsidRDefault="008166D2" w:rsidP="008166D2">
      <w:pPr>
        <w:jc w:val="both"/>
        <w:rPr>
          <w:rFonts w:ascii="Arial" w:hAnsi="Arial" w:cs="Arial"/>
        </w:rPr>
      </w:pPr>
    </w:p>
    <w:p w:rsidR="00EF7E17" w:rsidRPr="008166D2" w:rsidRDefault="00EF7E17" w:rsidP="008166D2">
      <w:pPr>
        <w:jc w:val="both"/>
        <w:rPr>
          <w:rFonts w:ascii="Arial" w:hAnsi="Arial" w:cs="Arial"/>
        </w:rPr>
      </w:pPr>
      <w:r w:rsidRPr="008166D2">
        <w:rPr>
          <w:rFonts w:ascii="Arial" w:hAnsi="Arial" w:cs="Arial"/>
        </w:rPr>
        <w:t>La vérification des candidatures est faite en fonction des critères attendus sur la présente offre d’emploi par la direction de l’ARS. Les candidatures non éligibles feront l’objet d’une information aux candidats concernés.</w:t>
      </w:r>
    </w:p>
    <w:p w:rsidR="00EF7E17" w:rsidRPr="008166D2" w:rsidRDefault="00EF7E17" w:rsidP="008166D2">
      <w:pPr>
        <w:jc w:val="both"/>
        <w:rPr>
          <w:rFonts w:ascii="Arial" w:hAnsi="Arial" w:cs="Arial"/>
        </w:rPr>
      </w:pPr>
      <w:r w:rsidRPr="008166D2">
        <w:rPr>
          <w:rFonts w:ascii="Arial" w:hAnsi="Arial" w:cs="Arial"/>
        </w:rPr>
        <w:t xml:space="preserve">Les candidats </w:t>
      </w:r>
      <w:r w:rsidR="00C65657" w:rsidRPr="008166D2">
        <w:rPr>
          <w:rFonts w:ascii="Arial" w:hAnsi="Arial" w:cs="Arial"/>
        </w:rPr>
        <w:t>présélectionnés</w:t>
      </w:r>
      <w:r w:rsidRPr="008166D2">
        <w:rPr>
          <w:rFonts w:ascii="Arial" w:hAnsi="Arial" w:cs="Arial"/>
        </w:rPr>
        <w:t xml:space="preserve"> seront auditionnés par la directrice générale de l’agence. Les candidats non retenus seront informés.</w:t>
      </w:r>
    </w:p>
    <w:p w:rsidR="00EF7E17" w:rsidRPr="008166D2" w:rsidRDefault="00EF7E17" w:rsidP="008166D2">
      <w:pPr>
        <w:jc w:val="both"/>
        <w:rPr>
          <w:rFonts w:ascii="Arial" w:hAnsi="Arial" w:cs="Arial"/>
        </w:rPr>
      </w:pPr>
      <w:r w:rsidRPr="008166D2">
        <w:rPr>
          <w:rFonts w:ascii="Arial" w:hAnsi="Arial" w:cs="Arial"/>
        </w:rPr>
        <w:t>A l’issue des auditions, l’autorité d’emploi transmettra à l’autorité de recruteme</w:t>
      </w:r>
      <w:r w:rsidR="00C65657">
        <w:rPr>
          <w:rFonts w:ascii="Arial" w:hAnsi="Arial" w:cs="Arial"/>
        </w:rPr>
        <w:t>nt, le nom du candidat retenu.</w:t>
      </w:r>
    </w:p>
    <w:p w:rsidR="00EF7E17" w:rsidRPr="008166D2" w:rsidRDefault="00EF7E17" w:rsidP="008166D2">
      <w:pPr>
        <w:jc w:val="both"/>
        <w:rPr>
          <w:rFonts w:ascii="Arial" w:hAnsi="Arial" w:cs="Arial"/>
          <w:color w:val="1F497D"/>
        </w:rPr>
      </w:pPr>
    </w:p>
    <w:tbl>
      <w:tblPr>
        <w:tblW w:w="0" w:type="auto"/>
        <w:tblCellSpacing w:w="22" w:type="dxa"/>
        <w:tblCellMar>
          <w:left w:w="0" w:type="dxa"/>
          <w:right w:w="0" w:type="dxa"/>
        </w:tblCellMar>
        <w:tblLook w:val="04A0"/>
      </w:tblPr>
      <w:tblGrid>
        <w:gridCol w:w="2766"/>
        <w:gridCol w:w="5091"/>
      </w:tblGrid>
      <w:tr w:rsidR="00EF7E17" w:rsidRPr="008166D2" w:rsidTr="00EF7E17">
        <w:trPr>
          <w:tblCellSpacing w:w="22" w:type="dxa"/>
        </w:trPr>
        <w:tc>
          <w:tcPr>
            <w:tcW w:w="0" w:type="auto"/>
            <w:gridSpan w:val="2"/>
            <w:vAlign w:val="center"/>
          </w:tcPr>
          <w:p w:rsidR="00EF7E17" w:rsidRPr="008166D2" w:rsidRDefault="00EF7E17" w:rsidP="008166D2">
            <w:pPr>
              <w:jc w:val="both"/>
              <w:rPr>
                <w:rFonts w:ascii="Arial" w:hAnsi="Arial" w:cs="Arial"/>
                <w:color w:val="1F497D"/>
                <w:sz w:val="24"/>
                <w:szCs w:val="24"/>
                <w:lang w:eastAsia="fr-FR"/>
              </w:rPr>
            </w:pPr>
          </w:p>
        </w:tc>
      </w:tr>
      <w:tr w:rsidR="00EF7E17" w:rsidRPr="008166D2" w:rsidTr="00EF7E17">
        <w:trPr>
          <w:tblCellSpacing w:w="22" w:type="dxa"/>
        </w:trPr>
        <w:tc>
          <w:tcPr>
            <w:tcW w:w="2700" w:type="dxa"/>
            <w:vMerge w:val="restart"/>
          </w:tcPr>
          <w:p w:rsidR="00EF7E17" w:rsidRPr="008166D2" w:rsidRDefault="00EF7E17" w:rsidP="008166D2">
            <w:pPr>
              <w:jc w:val="both"/>
              <w:rPr>
                <w:rFonts w:ascii="Arial" w:hAnsi="Arial" w:cs="Arial"/>
                <w:color w:val="1F497D"/>
                <w:lang w:eastAsia="fr-FR"/>
              </w:rPr>
            </w:pPr>
          </w:p>
        </w:tc>
        <w:tc>
          <w:tcPr>
            <w:tcW w:w="0" w:type="auto"/>
            <w:tcMar>
              <w:top w:w="30" w:type="dxa"/>
              <w:left w:w="30" w:type="dxa"/>
              <w:bottom w:w="30" w:type="dxa"/>
              <w:right w:w="30" w:type="dxa"/>
            </w:tcMar>
            <w:vAlign w:val="center"/>
          </w:tcPr>
          <w:p w:rsidR="00EF7E17" w:rsidRPr="008166D2" w:rsidRDefault="00EF7E17" w:rsidP="008166D2">
            <w:pPr>
              <w:jc w:val="both"/>
              <w:rPr>
                <w:rFonts w:ascii="Arial" w:hAnsi="Arial" w:cs="Arial"/>
                <w:b/>
                <w:bCs/>
                <w:color w:val="1F497D"/>
                <w:lang w:eastAsia="fr-FR"/>
              </w:rPr>
            </w:pPr>
          </w:p>
        </w:tc>
      </w:tr>
      <w:tr w:rsidR="00EF7E17" w:rsidRPr="008166D2" w:rsidTr="00EF7E17">
        <w:trPr>
          <w:tblCellSpacing w:w="22" w:type="dxa"/>
        </w:trPr>
        <w:tc>
          <w:tcPr>
            <w:tcW w:w="0" w:type="auto"/>
            <w:vMerge/>
            <w:vAlign w:val="center"/>
          </w:tcPr>
          <w:p w:rsidR="00EF7E17" w:rsidRPr="008166D2" w:rsidRDefault="00EF7E17" w:rsidP="008166D2">
            <w:pPr>
              <w:jc w:val="both"/>
              <w:rPr>
                <w:rFonts w:ascii="Arial" w:hAnsi="Arial" w:cs="Arial"/>
                <w:color w:val="1F497D"/>
                <w:lang w:eastAsia="fr-FR"/>
              </w:rPr>
            </w:pPr>
          </w:p>
        </w:tc>
        <w:tc>
          <w:tcPr>
            <w:tcW w:w="5025" w:type="dxa"/>
            <w:tcMar>
              <w:top w:w="30" w:type="dxa"/>
              <w:left w:w="30" w:type="dxa"/>
              <w:bottom w:w="30" w:type="dxa"/>
              <w:right w:w="30" w:type="dxa"/>
            </w:tcMar>
            <w:vAlign w:val="center"/>
          </w:tcPr>
          <w:p w:rsidR="00EF7E17" w:rsidRPr="008166D2" w:rsidRDefault="00EF7E17" w:rsidP="008166D2">
            <w:pPr>
              <w:jc w:val="both"/>
              <w:rPr>
                <w:rFonts w:ascii="Arial" w:hAnsi="Arial" w:cs="Arial"/>
                <w:color w:val="1F497D"/>
                <w:lang w:eastAsia="fr-FR"/>
              </w:rPr>
            </w:pPr>
          </w:p>
        </w:tc>
      </w:tr>
      <w:tr w:rsidR="00EF7E17" w:rsidRPr="008166D2" w:rsidTr="00EF7E17">
        <w:trPr>
          <w:tblCellSpacing w:w="22" w:type="dxa"/>
        </w:trPr>
        <w:tc>
          <w:tcPr>
            <w:tcW w:w="0" w:type="auto"/>
            <w:vMerge/>
            <w:vAlign w:val="center"/>
          </w:tcPr>
          <w:p w:rsidR="00EF7E17" w:rsidRPr="008166D2" w:rsidRDefault="00EF7E17" w:rsidP="008166D2">
            <w:pPr>
              <w:jc w:val="both"/>
              <w:rPr>
                <w:rFonts w:ascii="Arial" w:hAnsi="Arial" w:cs="Arial"/>
                <w:color w:val="1F497D"/>
                <w:lang w:eastAsia="fr-FR"/>
              </w:rPr>
            </w:pPr>
          </w:p>
        </w:tc>
        <w:tc>
          <w:tcPr>
            <w:tcW w:w="0" w:type="auto"/>
            <w:tcMar>
              <w:top w:w="30" w:type="dxa"/>
              <w:left w:w="30" w:type="dxa"/>
              <w:bottom w:w="30" w:type="dxa"/>
              <w:right w:w="30" w:type="dxa"/>
            </w:tcMar>
            <w:vAlign w:val="center"/>
          </w:tcPr>
          <w:p w:rsidR="00EF7E17" w:rsidRPr="008166D2" w:rsidRDefault="00EF7E17" w:rsidP="008166D2">
            <w:pPr>
              <w:jc w:val="both"/>
              <w:rPr>
                <w:rFonts w:ascii="Arial" w:hAnsi="Arial" w:cs="Arial"/>
                <w:color w:val="1F497D"/>
                <w:lang w:eastAsia="fr-FR"/>
              </w:rPr>
            </w:pPr>
          </w:p>
        </w:tc>
      </w:tr>
      <w:tr w:rsidR="00EF7E17" w:rsidRPr="008166D2" w:rsidTr="00EF7E17">
        <w:trPr>
          <w:tblCellSpacing w:w="22" w:type="dxa"/>
        </w:trPr>
        <w:tc>
          <w:tcPr>
            <w:tcW w:w="0" w:type="auto"/>
            <w:vAlign w:val="center"/>
          </w:tcPr>
          <w:p w:rsidR="00EF7E17" w:rsidRPr="008166D2" w:rsidRDefault="00EF7E17" w:rsidP="008166D2">
            <w:pPr>
              <w:jc w:val="both"/>
              <w:rPr>
                <w:rFonts w:ascii="Arial" w:hAnsi="Arial" w:cs="Arial"/>
                <w:color w:val="1F497D"/>
                <w:lang w:eastAsia="fr-FR"/>
              </w:rPr>
            </w:pPr>
          </w:p>
        </w:tc>
        <w:tc>
          <w:tcPr>
            <w:tcW w:w="0" w:type="auto"/>
            <w:vAlign w:val="center"/>
          </w:tcPr>
          <w:p w:rsidR="00EF7E17" w:rsidRPr="008166D2" w:rsidRDefault="00EF7E17" w:rsidP="008166D2">
            <w:pPr>
              <w:jc w:val="both"/>
              <w:rPr>
                <w:rFonts w:ascii="Arial" w:hAnsi="Arial" w:cs="Arial"/>
                <w:color w:val="1F497D"/>
                <w:sz w:val="24"/>
                <w:szCs w:val="24"/>
                <w:lang w:eastAsia="fr-FR"/>
              </w:rPr>
            </w:pPr>
          </w:p>
        </w:tc>
      </w:tr>
    </w:tbl>
    <w:p w:rsidR="00EF7E17" w:rsidRPr="008166D2" w:rsidRDefault="00EF7E17" w:rsidP="008166D2">
      <w:pPr>
        <w:jc w:val="both"/>
        <w:outlineLvl w:val="0"/>
        <w:rPr>
          <w:rFonts w:ascii="Arial" w:hAnsi="Arial" w:cs="Arial"/>
          <w:color w:val="1F497D"/>
          <w:lang w:eastAsia="fr-FR"/>
        </w:rPr>
      </w:pPr>
      <w:r w:rsidRPr="008166D2">
        <w:rPr>
          <w:rFonts w:ascii="Arial" w:hAnsi="Arial" w:cs="Arial"/>
          <w:lang w:eastAsia="fr-FR"/>
        </w:rPr>
        <w:br/>
      </w:r>
    </w:p>
    <w:p w:rsidR="00EF7E17" w:rsidRPr="008166D2" w:rsidRDefault="00EF7E17" w:rsidP="008166D2">
      <w:pPr>
        <w:jc w:val="both"/>
        <w:rPr>
          <w:rFonts w:ascii="Arial" w:hAnsi="Arial" w:cs="Arial"/>
        </w:rPr>
      </w:pPr>
    </w:p>
    <w:p w:rsidR="00EF7E17" w:rsidRPr="008166D2" w:rsidRDefault="00EF7E17" w:rsidP="008166D2">
      <w:pPr>
        <w:jc w:val="both"/>
        <w:rPr>
          <w:rFonts w:ascii="Arial" w:hAnsi="Arial" w:cs="Arial"/>
        </w:rPr>
      </w:pPr>
      <w:r w:rsidRPr="008166D2">
        <w:rPr>
          <w:rFonts w:ascii="Arial" w:hAnsi="Arial" w:cs="Arial"/>
        </w:rPr>
        <w:t> </w:t>
      </w:r>
    </w:p>
    <w:p w:rsidR="001101B4" w:rsidRPr="008166D2" w:rsidRDefault="009648C0" w:rsidP="008166D2">
      <w:pPr>
        <w:jc w:val="both"/>
        <w:rPr>
          <w:rFonts w:ascii="Arial" w:hAnsi="Arial" w:cs="Arial"/>
        </w:rPr>
      </w:pPr>
    </w:p>
    <w:sectPr w:rsidR="001101B4" w:rsidRPr="008166D2" w:rsidSect="008C44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862F2"/>
    <w:rsid w:val="001F2CC5"/>
    <w:rsid w:val="001F5DD2"/>
    <w:rsid w:val="002862F2"/>
    <w:rsid w:val="00742425"/>
    <w:rsid w:val="008166D2"/>
    <w:rsid w:val="008C4424"/>
    <w:rsid w:val="009648C0"/>
    <w:rsid w:val="009A4F01"/>
    <w:rsid w:val="00C65657"/>
    <w:rsid w:val="00E55A37"/>
    <w:rsid w:val="00EA281B"/>
    <w:rsid w:val="00ED118A"/>
    <w:rsid w:val="00EF7E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D2"/>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F5DD2"/>
    <w:rPr>
      <w:color w:val="0563C1"/>
      <w:u w:val="single"/>
    </w:rPr>
  </w:style>
  <w:style w:type="character" w:styleId="Lienhypertextesuivivisit">
    <w:name w:val="FollowedHyperlink"/>
    <w:basedOn w:val="Policepardfaut"/>
    <w:uiPriority w:val="99"/>
    <w:semiHidden/>
    <w:unhideWhenUsed/>
    <w:rsid w:val="00C65657"/>
    <w:rPr>
      <w:color w:val="954F72" w:themeColor="followedHyperlink"/>
      <w:u w:val="single"/>
    </w:rPr>
  </w:style>
  <w:style w:type="paragraph" w:styleId="Textedebulles">
    <w:name w:val="Balloon Text"/>
    <w:basedOn w:val="Normal"/>
    <w:link w:val="TextedebullesCar"/>
    <w:uiPriority w:val="99"/>
    <w:semiHidden/>
    <w:unhideWhenUsed/>
    <w:rsid w:val="00C656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56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4383803">
      <w:bodyDiv w:val="1"/>
      <w:marLeft w:val="0"/>
      <w:marRight w:val="0"/>
      <w:marTop w:val="0"/>
      <w:marBottom w:val="0"/>
      <w:divBdr>
        <w:top w:val="none" w:sz="0" w:space="0" w:color="auto"/>
        <w:left w:val="none" w:sz="0" w:space="0" w:color="auto"/>
        <w:bottom w:val="none" w:sz="0" w:space="0" w:color="auto"/>
        <w:right w:val="none" w:sz="0" w:space="0" w:color="auto"/>
      </w:divBdr>
    </w:div>
    <w:div w:id="14136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e.ladoucette@ars.sante.fr" TargetMode="External"/><Relationship Id="rId5" Type="http://schemas.openxmlformats.org/officeDocument/2006/relationships/hyperlink" Target="https://place-ep-recrute.talent-soft.com/Handlers/download.ashx?filetype=1032&amp;fileguid=8aed9acf-3c49-4c31-928b-e8a0fd88706e&amp;offerid=504395"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 Benjamin</dc:creator>
  <cp:lastModifiedBy>PHILIPPE</cp:lastModifiedBy>
  <cp:revision>2</cp:revision>
  <cp:lastPrinted>2020-11-24T11:15:00Z</cp:lastPrinted>
  <dcterms:created xsi:type="dcterms:W3CDTF">2020-11-24T11:40:00Z</dcterms:created>
  <dcterms:modified xsi:type="dcterms:W3CDTF">2020-11-24T11:40:00Z</dcterms:modified>
</cp:coreProperties>
</file>