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0"/>
      </w:tblGrid>
      <w:tr w:rsidR="00F61D09" w:rsidRPr="00F61D09" w:rsidTr="00473339">
        <w:tc>
          <w:tcPr>
            <w:tcW w:w="10630" w:type="dxa"/>
            <w:tcBorders>
              <w:bottom w:val="single" w:sz="4" w:space="0" w:color="auto"/>
            </w:tcBorders>
            <w:shd w:val="clear" w:color="auto" w:fill="auto"/>
            <w:vAlign w:val="center"/>
          </w:tcPr>
          <w:p w:rsidR="00BD7DB6" w:rsidRPr="00737A47" w:rsidRDefault="00BD7DB6" w:rsidP="00473339">
            <w:pPr>
              <w:jc w:val="center"/>
              <w:rPr>
                <w:rFonts w:ascii="DIN-Bold" w:hAnsi="DIN-Bold"/>
                <w:smallCaps/>
                <w:sz w:val="16"/>
                <w:szCs w:val="16"/>
              </w:rPr>
            </w:pPr>
          </w:p>
          <w:p w:rsidR="00F61D09" w:rsidRPr="00473339" w:rsidRDefault="00BD7DB6" w:rsidP="00473339">
            <w:pPr>
              <w:jc w:val="center"/>
              <w:rPr>
                <w:rFonts w:ascii="DIN-Bold" w:hAnsi="DIN-Bold"/>
                <w:smallCaps/>
                <w:sz w:val="32"/>
                <w:szCs w:val="32"/>
              </w:rPr>
            </w:pPr>
            <w:r w:rsidRPr="00473339">
              <w:rPr>
                <w:rFonts w:ascii="DIN-Bold" w:hAnsi="DIN-Bold"/>
                <w:smallCaps/>
                <w:sz w:val="32"/>
                <w:szCs w:val="32"/>
              </w:rPr>
              <w:t>F</w:t>
            </w:r>
            <w:r w:rsidR="00F61D09" w:rsidRPr="00473339">
              <w:rPr>
                <w:rFonts w:ascii="DIN-Bold" w:hAnsi="DIN-Bold"/>
                <w:smallCaps/>
                <w:sz w:val="32"/>
                <w:szCs w:val="32"/>
              </w:rPr>
              <w:t>iche de poste de Directeur Adjoint</w:t>
            </w:r>
          </w:p>
          <w:p w:rsidR="00F61D09" w:rsidRPr="00473339" w:rsidRDefault="00F61D09" w:rsidP="00473339">
            <w:pPr>
              <w:jc w:val="center"/>
              <w:rPr>
                <w:rFonts w:ascii="DIN-Bold" w:hAnsi="DIN-Bold"/>
                <w:sz w:val="32"/>
                <w:szCs w:val="32"/>
              </w:rPr>
            </w:pPr>
            <w:r w:rsidRPr="00473339">
              <w:rPr>
                <w:rFonts w:ascii="DIN-Bold" w:hAnsi="DIN-Bold"/>
                <w:sz w:val="32"/>
                <w:szCs w:val="32"/>
              </w:rPr>
              <w:t>(directeur d'hôpital)</w:t>
            </w:r>
          </w:p>
          <w:p w:rsidR="00F61D09" w:rsidRPr="00473339" w:rsidRDefault="00F61D09" w:rsidP="00473339">
            <w:pPr>
              <w:jc w:val="center"/>
              <w:rPr>
                <w:rFonts w:ascii="DIN-Bold" w:hAnsi="DIN-Bold"/>
              </w:rPr>
            </w:pPr>
          </w:p>
        </w:tc>
      </w:tr>
      <w:tr w:rsidR="00F61D09" w:rsidRPr="00F61D09" w:rsidTr="00026F88">
        <w:trPr>
          <w:trHeight w:val="2673"/>
        </w:trPr>
        <w:tc>
          <w:tcPr>
            <w:tcW w:w="10630" w:type="dxa"/>
            <w:tcBorders>
              <w:left w:val="nil"/>
              <w:right w:val="nil"/>
            </w:tcBorders>
            <w:shd w:val="clear" w:color="auto" w:fill="auto"/>
            <w:vAlign w:val="center"/>
          </w:tcPr>
          <w:p w:rsidR="00F61D09" w:rsidRPr="00473339" w:rsidRDefault="00D0308A" w:rsidP="00473339">
            <w:pPr>
              <w:jc w:val="center"/>
              <w:rPr>
                <w:rFonts w:ascii="DIN-Bold" w:hAnsi="DIN-Bold"/>
                <w:i/>
                <w:sz w:val="24"/>
                <w:szCs w:val="24"/>
              </w:rPr>
            </w:pPr>
            <w:r w:rsidRPr="00473339">
              <w:rPr>
                <w:rFonts w:ascii="DIN-Bold" w:hAnsi="DIN-Bold"/>
                <w:i/>
                <w:sz w:val="24"/>
                <w:szCs w:val="24"/>
              </w:rPr>
              <w:t>Document de référence : Référentiel métier de directeur d’hôpital</w:t>
            </w:r>
          </w:p>
          <w:p w:rsidR="00D0308A" w:rsidRPr="00473339" w:rsidRDefault="00D0308A" w:rsidP="00473339">
            <w:pPr>
              <w:jc w:val="center"/>
              <w:rPr>
                <w:rFonts w:ascii="DIN-Bold" w:hAnsi="DIN-Bold"/>
                <w:i/>
              </w:rPr>
            </w:pPr>
          </w:p>
          <w:p w:rsidR="001C210B" w:rsidRPr="00473339" w:rsidRDefault="00F61D09" w:rsidP="00473339">
            <w:pPr>
              <w:jc w:val="center"/>
              <w:rPr>
                <w:rFonts w:ascii="DIN-Bold" w:hAnsi="DIN-Bold"/>
                <w:i/>
                <w:sz w:val="24"/>
                <w:szCs w:val="24"/>
              </w:rPr>
            </w:pPr>
            <w:r w:rsidRPr="00473339">
              <w:rPr>
                <w:rFonts w:ascii="DIN-Bold" w:hAnsi="DIN-Bold"/>
                <w:i/>
                <w:sz w:val="24"/>
                <w:szCs w:val="24"/>
              </w:rPr>
              <w:br/>
            </w:r>
          </w:p>
          <w:p w:rsidR="001C210B" w:rsidRPr="00473339" w:rsidRDefault="001C210B" w:rsidP="001C210B">
            <w:pPr>
              <w:rPr>
                <w:rFonts w:ascii="DIN-Bold" w:hAnsi="DIN-Bold"/>
                <w:i/>
                <w:sz w:val="24"/>
                <w:szCs w:val="24"/>
              </w:rPr>
            </w:pPr>
            <w:r w:rsidRPr="00473339">
              <w:rPr>
                <w:rFonts w:ascii="DIN-Bold" w:hAnsi="DIN-Bold"/>
                <w:i/>
                <w:sz w:val="24"/>
                <w:szCs w:val="24"/>
              </w:rPr>
              <w:t>Fonctions (profil proposé)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9"/>
            </w:tblGrid>
            <w:tr w:rsidR="001C210B" w:rsidRPr="00473339" w:rsidTr="00473339">
              <w:trPr>
                <w:trHeight w:val="539"/>
              </w:trPr>
              <w:tc>
                <w:tcPr>
                  <w:tcW w:w="10399" w:type="dxa"/>
                  <w:shd w:val="clear" w:color="auto" w:fill="auto"/>
                </w:tcPr>
                <w:p w:rsidR="001C210B" w:rsidRPr="00971981" w:rsidRDefault="00BA06C4" w:rsidP="00971981">
                  <w:pPr>
                    <w:spacing w:before="240"/>
                    <w:jc w:val="center"/>
                    <w:rPr>
                      <w:rFonts w:ascii="DIN-Bold" w:hAnsi="DIN-Bold"/>
                      <w:b/>
                      <w:sz w:val="24"/>
                      <w:szCs w:val="24"/>
                    </w:rPr>
                  </w:pPr>
                  <w:r w:rsidRPr="005044BD">
                    <w:rPr>
                      <w:rFonts w:ascii="Arial" w:hAnsi="Arial" w:cs="Arial"/>
                      <w:b/>
                      <w:i/>
                      <w:sz w:val="26"/>
                      <w:szCs w:val="26"/>
                    </w:rPr>
                    <w:t>DIRECTEUR DES RESSOURCES HUMAINES ET DES AFFAIRES MEDICALES</w:t>
                  </w:r>
                </w:p>
              </w:tc>
            </w:tr>
          </w:tbl>
          <w:p w:rsidR="003E711E" w:rsidRPr="00737A47" w:rsidRDefault="003E711E" w:rsidP="00473339">
            <w:pPr>
              <w:jc w:val="center"/>
              <w:rPr>
                <w:rFonts w:ascii="DIN-Bold" w:hAnsi="DIN-Bold"/>
                <w:i/>
                <w:sz w:val="16"/>
                <w:szCs w:val="16"/>
              </w:rPr>
            </w:pPr>
          </w:p>
          <w:p w:rsidR="003E711E" w:rsidRPr="00473339" w:rsidRDefault="003E711E" w:rsidP="003E711E">
            <w:pPr>
              <w:rPr>
                <w:rFonts w:ascii="DIN-Bold" w:hAnsi="DIN-Bold" w:cs="Arial"/>
                <w:color w:val="000000"/>
                <w:sz w:val="22"/>
              </w:rPr>
            </w:pPr>
            <w:r w:rsidRPr="00473339">
              <w:rPr>
                <w:rFonts w:ascii="DIN-Bold" w:hAnsi="DIN-Bold" w:cs="Arial"/>
                <w:color w:val="000000"/>
                <w:sz w:val="22"/>
              </w:rPr>
              <w:t xml:space="preserve">Cotation de la part fonctions de </w:t>
            </w:r>
            <w:smartTag w:uri="urn:schemas-microsoft-com:office:smarttags" w:element="PersonName">
              <w:smartTagPr>
                <w:attr w:name="ProductID" w:val="la PFR"/>
              </w:smartTagPr>
              <w:r w:rsidRPr="00473339">
                <w:rPr>
                  <w:rFonts w:ascii="DIN-Bold" w:hAnsi="DIN-Bold" w:cs="Arial"/>
                  <w:color w:val="000000"/>
                  <w:sz w:val="22"/>
                </w:rPr>
                <w:t>la PFR</w:t>
              </w:r>
            </w:smartTag>
            <w:r w:rsidRPr="00473339">
              <w:rPr>
                <w:rFonts w:ascii="DIN-Bold" w:hAnsi="DIN-Bold" w:cs="Arial"/>
                <w:color w:val="000000"/>
                <w:sz w:val="22"/>
              </w:rPr>
              <w:t xml:space="preserve"> :</w:t>
            </w:r>
          </w:p>
          <w:p w:rsidR="00DB42E0" w:rsidRPr="00473339" w:rsidRDefault="00DB42E0" w:rsidP="00C91AD3">
            <w:pPr>
              <w:rPr>
                <w:rFonts w:ascii="DIN-Bold" w:hAnsi="DIN-Bold"/>
                <w:i/>
                <w:sz w:val="24"/>
                <w:szCs w:val="24"/>
              </w:rPr>
            </w:pPr>
            <w:r w:rsidRPr="00473339">
              <w:rPr>
                <w:rFonts w:ascii="Arial" w:hAnsi="Arial" w:cs="Arial"/>
                <w:i/>
              </w:rPr>
              <w:t>(</w:t>
            </w:r>
            <w:r w:rsidR="00C91AD3">
              <w:rPr>
                <w:rFonts w:ascii="Arial" w:hAnsi="Arial" w:cs="Arial"/>
                <w:i/>
              </w:rPr>
              <w:t>Classe normale</w:t>
            </w:r>
            <w:r w:rsidR="00A93D90">
              <w:rPr>
                <w:rFonts w:ascii="Arial" w:hAnsi="Arial" w:cs="Arial"/>
                <w:i/>
              </w:rPr>
              <w:t xml:space="preserve"> ou hors classe</w:t>
            </w:r>
            <w:r w:rsidRPr="00473339">
              <w:rPr>
                <w:rFonts w:ascii="Arial" w:hAnsi="Arial" w:cs="Arial"/>
                <w:i/>
              </w:rPr>
              <w:t>)</w:t>
            </w:r>
          </w:p>
        </w:tc>
      </w:tr>
      <w:tr w:rsidR="003E711E" w:rsidRPr="00F61D09" w:rsidTr="00026F88">
        <w:trPr>
          <w:trHeight w:val="557"/>
        </w:trPr>
        <w:tc>
          <w:tcPr>
            <w:tcW w:w="10630" w:type="dxa"/>
            <w:tcBorders>
              <w:left w:val="single" w:sz="4" w:space="0" w:color="auto"/>
              <w:right w:val="single" w:sz="4" w:space="0" w:color="auto"/>
            </w:tcBorders>
            <w:shd w:val="clear" w:color="auto" w:fill="auto"/>
            <w:vAlign w:val="center"/>
          </w:tcPr>
          <w:p w:rsidR="003E711E" w:rsidRPr="00737A47" w:rsidRDefault="003E711E" w:rsidP="00473339">
            <w:pPr>
              <w:jc w:val="center"/>
              <w:rPr>
                <w:rFonts w:ascii="DIN-Bold" w:hAnsi="DIN-Bold"/>
                <w:b/>
                <w:sz w:val="16"/>
                <w:szCs w:val="16"/>
              </w:rPr>
            </w:pPr>
          </w:p>
          <w:p w:rsidR="00026F88" w:rsidRPr="005044BD" w:rsidRDefault="00BA06C4" w:rsidP="00026F88">
            <w:pPr>
              <w:jc w:val="center"/>
              <w:rPr>
                <w:rFonts w:ascii="Arial" w:hAnsi="Arial" w:cs="Arial"/>
                <w:b/>
                <w:i/>
                <w:sz w:val="24"/>
                <w:szCs w:val="24"/>
              </w:rPr>
            </w:pPr>
            <w:r w:rsidRPr="005044BD">
              <w:rPr>
                <w:rFonts w:ascii="Arial" w:hAnsi="Arial" w:cs="Arial"/>
                <w:b/>
                <w:i/>
                <w:sz w:val="24"/>
                <w:szCs w:val="24"/>
              </w:rPr>
              <w:t>(</w:t>
            </w:r>
            <w:r w:rsidR="00026F88" w:rsidRPr="005044BD">
              <w:rPr>
                <w:rFonts w:ascii="Arial" w:hAnsi="Arial" w:cs="Arial"/>
                <w:b/>
                <w:i/>
                <w:sz w:val="24"/>
                <w:szCs w:val="24"/>
              </w:rPr>
              <w:t>CN) 2.6 + 0.2 (multi-sites)</w:t>
            </w:r>
          </w:p>
          <w:p w:rsidR="003E711E" w:rsidRPr="00971981" w:rsidRDefault="00026F88" w:rsidP="00026F88">
            <w:pPr>
              <w:jc w:val="center"/>
              <w:rPr>
                <w:rFonts w:ascii="DIN-Bold" w:hAnsi="DIN-Bold"/>
                <w:b/>
                <w:sz w:val="24"/>
                <w:szCs w:val="24"/>
              </w:rPr>
            </w:pPr>
            <w:r w:rsidRPr="005044BD">
              <w:rPr>
                <w:rFonts w:ascii="Arial" w:hAnsi="Arial" w:cs="Arial"/>
                <w:b/>
                <w:i/>
                <w:sz w:val="24"/>
                <w:szCs w:val="24"/>
              </w:rPr>
              <w:t>(HC) 2.7+ 0.2 (multi-sites)</w:t>
            </w:r>
          </w:p>
        </w:tc>
      </w:tr>
      <w:tr w:rsidR="003E711E" w:rsidRPr="00F61D09" w:rsidTr="00473339">
        <w:trPr>
          <w:trHeight w:val="465"/>
        </w:trPr>
        <w:tc>
          <w:tcPr>
            <w:tcW w:w="10630" w:type="dxa"/>
            <w:tcBorders>
              <w:left w:val="nil"/>
              <w:right w:val="nil"/>
            </w:tcBorders>
            <w:shd w:val="clear" w:color="auto" w:fill="auto"/>
            <w:vAlign w:val="center"/>
          </w:tcPr>
          <w:p w:rsidR="003E711E" w:rsidRPr="00473339" w:rsidRDefault="003E711E" w:rsidP="00473339">
            <w:pPr>
              <w:jc w:val="center"/>
              <w:rPr>
                <w:rFonts w:ascii="DIN-Bold" w:hAnsi="DIN-Bold"/>
                <w:i/>
                <w:sz w:val="24"/>
                <w:szCs w:val="24"/>
              </w:rPr>
            </w:pPr>
          </w:p>
        </w:tc>
      </w:tr>
      <w:tr w:rsidR="00F61D09" w:rsidRPr="00473339" w:rsidTr="00473339">
        <w:tc>
          <w:tcPr>
            <w:tcW w:w="10630" w:type="dxa"/>
            <w:tcBorders>
              <w:bottom w:val="single" w:sz="4" w:space="0" w:color="auto"/>
            </w:tcBorders>
            <w:shd w:val="clear" w:color="auto" w:fill="auto"/>
          </w:tcPr>
          <w:p w:rsidR="00BA06C4" w:rsidRDefault="00BA06C4" w:rsidP="00BA06C4">
            <w:pPr>
              <w:rPr>
                <w:rFonts w:ascii="Arial" w:hAnsi="Arial" w:cs="Arial"/>
                <w:sz w:val="22"/>
              </w:rPr>
            </w:pPr>
          </w:p>
          <w:p w:rsidR="00BA06C4" w:rsidRPr="00A021B6" w:rsidRDefault="00BA06C4" w:rsidP="00BA06C4">
            <w:pPr>
              <w:rPr>
                <w:rFonts w:ascii="Arial" w:hAnsi="Arial" w:cs="Arial"/>
                <w:sz w:val="22"/>
              </w:rPr>
            </w:pPr>
            <w:r w:rsidRPr="00A021B6">
              <w:rPr>
                <w:rFonts w:ascii="Arial" w:hAnsi="Arial" w:cs="Arial"/>
                <w:sz w:val="22"/>
              </w:rPr>
              <w:t>Centre hospitalier:</w:t>
            </w:r>
            <w:r w:rsidRPr="005044BD">
              <w:rPr>
                <w:rFonts w:ascii="Arial" w:hAnsi="Arial" w:cs="Arial"/>
                <w:b/>
                <w:sz w:val="22"/>
              </w:rPr>
              <w:t>Centre Hospitalier du Rouvray et du Bois Petit</w:t>
            </w:r>
            <w:r w:rsidRPr="00FD52B2">
              <w:rPr>
                <w:rFonts w:ascii="Arial" w:hAnsi="Arial" w:cs="Arial"/>
                <w:i/>
                <w:sz w:val="22"/>
              </w:rPr>
              <w:t>(direction commune)</w:t>
            </w:r>
          </w:p>
          <w:p w:rsidR="00BA06C4" w:rsidRPr="00A021B6" w:rsidRDefault="00BA06C4" w:rsidP="00BA06C4">
            <w:pPr>
              <w:rPr>
                <w:rFonts w:ascii="Arial" w:hAnsi="Arial" w:cs="Arial"/>
                <w:sz w:val="22"/>
              </w:rPr>
            </w:pPr>
          </w:p>
          <w:p w:rsidR="00BA06C4" w:rsidRPr="00FD52B2" w:rsidRDefault="00BA06C4" w:rsidP="00BA06C4">
            <w:pPr>
              <w:rPr>
                <w:rFonts w:ascii="Arial" w:hAnsi="Arial" w:cs="Arial"/>
                <w:b/>
                <w:sz w:val="22"/>
              </w:rPr>
            </w:pPr>
            <w:r w:rsidRPr="00A021B6">
              <w:rPr>
                <w:rFonts w:ascii="Arial" w:hAnsi="Arial" w:cs="Arial"/>
                <w:sz w:val="22"/>
              </w:rPr>
              <w:t>Adresse :</w:t>
            </w:r>
            <w:r w:rsidRPr="00FD52B2">
              <w:rPr>
                <w:rFonts w:ascii="Arial" w:hAnsi="Arial" w:cs="Arial"/>
                <w:b/>
                <w:sz w:val="22"/>
              </w:rPr>
              <w:t>4 rue Paul Eluard – BP 45</w:t>
            </w:r>
          </w:p>
          <w:p w:rsidR="00BA06C4" w:rsidRPr="00FD52B2" w:rsidRDefault="00BA06C4" w:rsidP="00BA06C4">
            <w:pPr>
              <w:rPr>
                <w:rFonts w:ascii="Arial" w:hAnsi="Arial" w:cs="Arial"/>
                <w:b/>
                <w:sz w:val="22"/>
              </w:rPr>
            </w:pPr>
            <w:r w:rsidRPr="00FD52B2">
              <w:rPr>
                <w:rFonts w:ascii="Arial" w:hAnsi="Arial" w:cs="Arial"/>
                <w:b/>
                <w:sz w:val="22"/>
              </w:rPr>
              <w:t xml:space="preserve">                76301 Sotteville les Rouen Cedex</w:t>
            </w:r>
          </w:p>
          <w:p w:rsidR="00BA06C4" w:rsidRPr="00A021B6" w:rsidRDefault="00BA06C4" w:rsidP="00BA06C4">
            <w:pPr>
              <w:rPr>
                <w:rFonts w:ascii="Arial" w:hAnsi="Arial" w:cs="Arial"/>
                <w:sz w:val="22"/>
              </w:rPr>
            </w:pPr>
          </w:p>
          <w:p w:rsidR="00BA06C4" w:rsidRPr="00FD52B2" w:rsidRDefault="00BA06C4" w:rsidP="00BA06C4">
            <w:pPr>
              <w:rPr>
                <w:rFonts w:ascii="Arial" w:hAnsi="Arial" w:cs="Arial"/>
                <w:b/>
                <w:sz w:val="22"/>
              </w:rPr>
            </w:pPr>
            <w:r w:rsidRPr="00A021B6">
              <w:rPr>
                <w:rFonts w:ascii="Arial" w:hAnsi="Arial" w:cs="Arial"/>
                <w:sz w:val="22"/>
              </w:rPr>
              <w:t>Personne à contacter :</w:t>
            </w:r>
            <w:r w:rsidRPr="00FD52B2">
              <w:rPr>
                <w:rFonts w:ascii="Arial" w:hAnsi="Arial" w:cs="Arial"/>
                <w:b/>
                <w:sz w:val="22"/>
              </w:rPr>
              <w:t>Monsieur Lucien VICENZUTTI – Directeur</w:t>
            </w:r>
          </w:p>
          <w:p w:rsidR="00BA06C4" w:rsidRPr="00FD52B2" w:rsidRDefault="00BA06C4" w:rsidP="00BA06C4">
            <w:pPr>
              <w:rPr>
                <w:rFonts w:ascii="Arial" w:hAnsi="Arial" w:cs="Arial"/>
                <w:b/>
                <w:sz w:val="22"/>
              </w:rPr>
            </w:pPr>
            <w:r w:rsidRPr="00FD52B2">
              <w:rPr>
                <w:rFonts w:ascii="Arial" w:hAnsi="Arial" w:cs="Arial"/>
                <w:b/>
                <w:sz w:val="22"/>
              </w:rPr>
              <w:t xml:space="preserve">                                     02 35 95 10 00</w:t>
            </w:r>
          </w:p>
          <w:p w:rsidR="00BA06C4" w:rsidRPr="00FD52B2" w:rsidRDefault="00BA06C4" w:rsidP="00BA06C4">
            <w:pPr>
              <w:rPr>
                <w:rFonts w:ascii="Arial" w:hAnsi="Arial" w:cs="Arial"/>
                <w:b/>
                <w:sz w:val="22"/>
              </w:rPr>
            </w:pPr>
            <w:r w:rsidRPr="00FD52B2">
              <w:rPr>
                <w:rFonts w:ascii="Arial" w:hAnsi="Arial" w:cs="Arial"/>
                <w:b/>
                <w:sz w:val="22"/>
              </w:rPr>
              <w:t xml:space="preserve">                                     Direction@ch-lerouvray.fr</w:t>
            </w:r>
          </w:p>
          <w:p w:rsidR="00F61D09" w:rsidRPr="00473339" w:rsidRDefault="00F61D09" w:rsidP="00971981">
            <w:pPr>
              <w:spacing w:line="276" w:lineRule="auto"/>
              <w:ind w:left="2977"/>
              <w:rPr>
                <w:sz w:val="22"/>
              </w:rPr>
            </w:pPr>
          </w:p>
        </w:tc>
      </w:tr>
      <w:tr w:rsidR="00F61D09" w:rsidRPr="00473339" w:rsidTr="00473339">
        <w:tc>
          <w:tcPr>
            <w:tcW w:w="10630" w:type="dxa"/>
            <w:tcBorders>
              <w:left w:val="nil"/>
              <w:right w:val="nil"/>
            </w:tcBorders>
            <w:shd w:val="clear" w:color="auto" w:fill="auto"/>
          </w:tcPr>
          <w:p w:rsidR="00F61D09" w:rsidRPr="00473339" w:rsidRDefault="00F61D09" w:rsidP="00473339">
            <w:pPr>
              <w:jc w:val="center"/>
              <w:rPr>
                <w:sz w:val="22"/>
              </w:rPr>
            </w:pPr>
          </w:p>
        </w:tc>
      </w:tr>
      <w:tr w:rsidR="00F61D09" w:rsidRPr="00473339" w:rsidTr="00473339">
        <w:tc>
          <w:tcPr>
            <w:tcW w:w="10630" w:type="dxa"/>
            <w:shd w:val="clear" w:color="auto" w:fill="auto"/>
            <w:vAlign w:val="center"/>
          </w:tcPr>
          <w:p w:rsidR="00F61D09" w:rsidRPr="00B6288D" w:rsidRDefault="00F61D09" w:rsidP="00473339">
            <w:pPr>
              <w:jc w:val="center"/>
              <w:rPr>
                <w:rFonts w:ascii="DIN-Bold" w:hAnsi="DIN-Bold"/>
                <w:b/>
                <w:sz w:val="22"/>
              </w:rPr>
            </w:pPr>
            <w:r w:rsidRPr="00B6288D">
              <w:rPr>
                <w:rFonts w:ascii="DIN-Bold" w:hAnsi="DIN-Bold"/>
                <w:b/>
                <w:sz w:val="24"/>
                <w:szCs w:val="24"/>
              </w:rPr>
              <w:t>Présentation générale</w:t>
            </w:r>
            <w:r w:rsidR="00D0308A" w:rsidRPr="00B6288D">
              <w:rPr>
                <w:rFonts w:ascii="DIN-Bold" w:hAnsi="DIN-Bold"/>
                <w:b/>
                <w:sz w:val="24"/>
                <w:szCs w:val="24"/>
              </w:rPr>
              <w:t xml:space="preserve"> et synthétique de l’établissement</w:t>
            </w:r>
          </w:p>
        </w:tc>
      </w:tr>
      <w:tr w:rsidR="00F61D09" w:rsidRPr="00473339" w:rsidTr="00473339">
        <w:tc>
          <w:tcPr>
            <w:tcW w:w="10630" w:type="dxa"/>
            <w:tcBorders>
              <w:bottom w:val="single" w:sz="4" w:space="0" w:color="auto"/>
            </w:tcBorders>
            <w:shd w:val="clear" w:color="auto" w:fill="auto"/>
          </w:tcPr>
          <w:p w:rsidR="00026F88" w:rsidRDefault="00026F88">
            <w:pPr>
              <w:rPr>
                <w:sz w:val="22"/>
              </w:rPr>
            </w:pPr>
          </w:p>
          <w:p w:rsidR="00F61D09" w:rsidRPr="00026F88" w:rsidRDefault="00D40D77">
            <w:pPr>
              <w:rPr>
                <w:b/>
                <w:sz w:val="22"/>
              </w:rPr>
            </w:pPr>
            <w:r w:rsidRPr="00026F88">
              <w:rPr>
                <w:b/>
                <w:sz w:val="22"/>
              </w:rPr>
              <w:t>Présentation générale de l'établissement :</w:t>
            </w:r>
          </w:p>
          <w:p w:rsidR="00971981" w:rsidRPr="00FD52B2" w:rsidRDefault="00971981" w:rsidP="00BA06C4">
            <w:pPr>
              <w:autoSpaceDE w:val="0"/>
              <w:autoSpaceDN w:val="0"/>
              <w:adjustRightInd w:val="0"/>
              <w:spacing w:before="120" w:line="276" w:lineRule="auto"/>
              <w:ind w:left="567" w:right="289"/>
              <w:jc w:val="both"/>
              <w:rPr>
                <w:rFonts w:ascii="Calibri" w:hAnsi="Calibri" w:cs="Calibri"/>
                <w:color w:val="000000"/>
                <w:sz w:val="22"/>
              </w:rPr>
            </w:pPr>
            <w:r w:rsidRPr="00FD52B2">
              <w:rPr>
                <w:rFonts w:ascii="Calibri" w:hAnsi="Calibri" w:cs="Calibri"/>
                <w:color w:val="000000"/>
                <w:sz w:val="22"/>
              </w:rPr>
              <w:t>Situé dans l’agglomération rouennaise, le Centre Hospitalier du Rouvray est l’établissement de référence en santé mentale de l’ex-région Haute-Normandie.</w:t>
            </w:r>
          </w:p>
          <w:p w:rsidR="00971981" w:rsidRPr="00FD52B2" w:rsidRDefault="00971981"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L’établissement a développé de nombreuses activités de second recours : troubles thymiques, personnes âgées</w:t>
            </w:r>
            <w:r w:rsidR="00FD52B2" w:rsidRPr="00FD52B2">
              <w:rPr>
                <w:rFonts w:ascii="Calibri" w:hAnsi="Calibri" w:cs="Calibri"/>
                <w:color w:val="000000"/>
                <w:sz w:val="22"/>
              </w:rPr>
              <w:t>, filière de prise en charge adolescente, équipes mobiles</w:t>
            </w:r>
            <w:r w:rsidRPr="00FD52B2">
              <w:rPr>
                <w:rFonts w:ascii="Calibri" w:hAnsi="Calibri" w:cs="Calibri"/>
                <w:color w:val="000000"/>
                <w:sz w:val="22"/>
              </w:rPr>
              <w:t>…</w:t>
            </w:r>
          </w:p>
          <w:p w:rsidR="00971981" w:rsidRPr="00FD52B2" w:rsidRDefault="00971981"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 xml:space="preserve">La file active progresse annuellement de 3 %. </w:t>
            </w:r>
            <w:r w:rsidR="00FD52B2" w:rsidRPr="00FD52B2">
              <w:rPr>
                <w:rFonts w:ascii="Calibri" w:hAnsi="Calibri" w:cs="Calibri"/>
                <w:color w:val="000000"/>
                <w:sz w:val="22"/>
              </w:rPr>
              <w:t>30 000</w:t>
            </w:r>
            <w:r w:rsidRPr="00FD52B2">
              <w:rPr>
                <w:rFonts w:ascii="Calibri" w:hAnsi="Calibri" w:cs="Calibri"/>
                <w:color w:val="000000"/>
                <w:sz w:val="22"/>
              </w:rPr>
              <w:t xml:space="preserve"> patients</w:t>
            </w:r>
            <w:r w:rsidR="00FD52B2" w:rsidRPr="00FD52B2">
              <w:rPr>
                <w:rFonts w:ascii="Calibri" w:hAnsi="Calibri" w:cs="Calibri"/>
                <w:color w:val="000000"/>
                <w:sz w:val="22"/>
              </w:rPr>
              <w:t xml:space="preserve"> environsont pris en charge chaque année</w:t>
            </w:r>
            <w:r w:rsidRPr="00FD52B2">
              <w:rPr>
                <w:rFonts w:ascii="Calibri" w:hAnsi="Calibri" w:cs="Calibri"/>
                <w:color w:val="000000"/>
                <w:sz w:val="22"/>
              </w:rPr>
              <w:t>, ce qui situe le Centre Hospitalier du Rouvray au 3ème rang au niveau national.</w:t>
            </w:r>
          </w:p>
          <w:p w:rsidR="00971981" w:rsidRPr="00FD52B2" w:rsidRDefault="00971981"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Le site principal de 80 hectares est dédié à l’hospitalisation temps plein. Il comprend 21 unités d’hospitalisation. Les structures ambulatoires sont implantées sur 53 sites géographiques différents répartis sur le territoire desservi par l’établissement, soit 700 000 habitants.</w:t>
            </w:r>
          </w:p>
          <w:p w:rsidR="00971981" w:rsidRPr="00FD52B2" w:rsidRDefault="00971981"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Le Centre Hospitalier du Rouvray a fait le choix d’intégrer le GHT Rouen Cœur de Seine</w:t>
            </w:r>
            <w:r w:rsidR="00FD52B2" w:rsidRPr="00FD52B2">
              <w:rPr>
                <w:rFonts w:ascii="Calibri" w:hAnsi="Calibri" w:cs="Calibri"/>
                <w:color w:val="000000"/>
                <w:sz w:val="22"/>
              </w:rPr>
              <w:t xml:space="preserve"> en 2016</w:t>
            </w:r>
            <w:r w:rsidRPr="00FD52B2">
              <w:rPr>
                <w:rFonts w:ascii="Calibri" w:hAnsi="Calibri" w:cs="Calibri"/>
                <w:color w:val="000000"/>
                <w:sz w:val="22"/>
              </w:rPr>
              <w:t xml:space="preserve"> dont le CHU est l’établissement support. Les deux établissements développent, en effet, en commun de nombreux projets : psychiatrie de liaison, sismothérapies, filière addictologie…</w:t>
            </w:r>
          </w:p>
          <w:p w:rsidR="00FD52B2" w:rsidRPr="00FD52B2" w:rsidRDefault="00FD52B2"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 xml:space="preserve">Le Centre Hospitalier finalise également actuellement son projet d’établissement pour le début de l’année 2021. </w:t>
            </w:r>
          </w:p>
          <w:p w:rsidR="00971981" w:rsidRPr="00FD52B2" w:rsidRDefault="00971981" w:rsidP="00737A47">
            <w:pPr>
              <w:autoSpaceDE w:val="0"/>
              <w:autoSpaceDN w:val="0"/>
              <w:adjustRightInd w:val="0"/>
              <w:spacing w:before="80" w:line="276" w:lineRule="auto"/>
              <w:ind w:left="567" w:right="289"/>
              <w:jc w:val="both"/>
              <w:rPr>
                <w:rFonts w:ascii="Calibri" w:hAnsi="Calibri" w:cs="Calibri"/>
                <w:color w:val="000000"/>
                <w:sz w:val="22"/>
              </w:rPr>
            </w:pPr>
            <w:r w:rsidRPr="00FD52B2">
              <w:rPr>
                <w:rFonts w:ascii="Calibri" w:hAnsi="Calibri" w:cs="Calibri"/>
                <w:color w:val="000000"/>
                <w:sz w:val="22"/>
              </w:rPr>
              <w:t xml:space="preserve">Enfin, une direction commune est mise en place avec le Centre Hospitalier du Bois Petit depuis le </w:t>
            </w:r>
            <w:r w:rsidRPr="00FD52B2">
              <w:rPr>
                <w:rFonts w:ascii="Calibri" w:hAnsi="Calibri" w:cs="Calibri"/>
                <w:color w:val="000000"/>
                <w:sz w:val="22"/>
              </w:rPr>
              <w:br/>
              <w:t xml:space="preserve">1er </w:t>
            </w:r>
            <w:r w:rsidR="00737A47" w:rsidRPr="00FD52B2">
              <w:rPr>
                <w:rFonts w:ascii="Calibri" w:hAnsi="Calibri" w:cs="Calibri"/>
                <w:color w:val="000000"/>
                <w:sz w:val="22"/>
              </w:rPr>
              <w:t>janvier</w:t>
            </w:r>
            <w:r w:rsidRPr="00FD52B2">
              <w:rPr>
                <w:rFonts w:ascii="Calibri" w:hAnsi="Calibri" w:cs="Calibri"/>
                <w:color w:val="000000"/>
                <w:sz w:val="22"/>
              </w:rPr>
              <w:t xml:space="preserve"> 2016. Depuis cette date, une réelle dynamique est à l’œuvre entre les deux établissements.</w:t>
            </w:r>
          </w:p>
          <w:p w:rsidR="00737A47" w:rsidRPr="00026F88" w:rsidRDefault="00737A47" w:rsidP="00737A47">
            <w:pPr>
              <w:spacing w:before="120" w:after="120"/>
              <w:rPr>
                <w:b/>
                <w:sz w:val="22"/>
              </w:rPr>
            </w:pPr>
            <w:r w:rsidRPr="00026F88">
              <w:rPr>
                <w:b/>
                <w:sz w:val="22"/>
              </w:rPr>
              <w:t>Présentation des services (nombre de lits, effectifs, budget…) :</w:t>
            </w:r>
          </w:p>
          <w:p w:rsidR="00D40D77" w:rsidRDefault="00737A47" w:rsidP="00026F88">
            <w:pPr>
              <w:ind w:left="567"/>
              <w:rPr>
                <w:rFonts w:ascii="Calibri" w:hAnsi="Calibri" w:cs="Calibri"/>
                <w:b/>
                <w:i/>
                <w:color w:val="000000"/>
                <w:sz w:val="22"/>
              </w:rPr>
            </w:pPr>
            <w:r w:rsidRPr="00FD52B2">
              <w:rPr>
                <w:rFonts w:ascii="Calibri" w:hAnsi="Calibri" w:cs="Calibri"/>
                <w:color w:val="000000"/>
                <w:sz w:val="22"/>
              </w:rPr>
              <w:t xml:space="preserve">Voir chiffres clés consultables sur le site </w:t>
            </w:r>
            <w:r w:rsidRPr="00026F88">
              <w:rPr>
                <w:rFonts w:ascii="Calibri" w:hAnsi="Calibri" w:cs="Calibri"/>
                <w:b/>
                <w:i/>
                <w:color w:val="000000"/>
                <w:sz w:val="22"/>
              </w:rPr>
              <w:t>wwww.ch-lerouvray.fr</w:t>
            </w:r>
          </w:p>
          <w:p w:rsidR="00026F88" w:rsidRPr="00026F88" w:rsidRDefault="00026F88" w:rsidP="00026F88">
            <w:pPr>
              <w:ind w:left="567"/>
              <w:rPr>
                <w:rFonts w:ascii="Calibri" w:hAnsi="Calibri" w:cs="Calibri"/>
                <w:color w:val="000000"/>
                <w:sz w:val="22"/>
              </w:rPr>
            </w:pPr>
          </w:p>
        </w:tc>
      </w:tr>
      <w:tr w:rsidR="00F61D09" w:rsidRPr="00473339" w:rsidTr="00473339">
        <w:tc>
          <w:tcPr>
            <w:tcW w:w="10630" w:type="dxa"/>
            <w:shd w:val="clear" w:color="auto" w:fill="auto"/>
          </w:tcPr>
          <w:p w:rsidR="00F61D09" w:rsidRPr="00B6288D" w:rsidRDefault="00D40D77" w:rsidP="00473339">
            <w:pPr>
              <w:jc w:val="center"/>
              <w:rPr>
                <w:b/>
                <w:sz w:val="22"/>
              </w:rPr>
            </w:pPr>
            <w:r w:rsidRPr="00B6288D">
              <w:rPr>
                <w:rFonts w:ascii="DIN-Bold" w:hAnsi="DIN-Bold"/>
                <w:b/>
                <w:sz w:val="24"/>
                <w:szCs w:val="24"/>
              </w:rPr>
              <w:lastRenderedPageBreak/>
              <w:t>Identification du poste</w:t>
            </w:r>
          </w:p>
        </w:tc>
      </w:tr>
      <w:tr w:rsidR="00F61D09" w:rsidRPr="00473339" w:rsidTr="00473339">
        <w:tc>
          <w:tcPr>
            <w:tcW w:w="10630" w:type="dxa"/>
            <w:tcBorders>
              <w:bottom w:val="single" w:sz="4" w:space="0" w:color="auto"/>
            </w:tcBorders>
            <w:shd w:val="clear" w:color="auto" w:fill="auto"/>
          </w:tcPr>
          <w:p w:rsidR="008B4BBE" w:rsidRPr="00473339" w:rsidRDefault="00D42F92">
            <w:pPr>
              <w:rPr>
                <w:sz w:val="22"/>
              </w:rPr>
            </w:pPr>
            <w:r>
              <w:br w:type="page"/>
            </w:r>
          </w:p>
          <w:p w:rsidR="008B4BBE" w:rsidRPr="00FD52B2" w:rsidRDefault="008B4BBE">
            <w:pPr>
              <w:rPr>
                <w:b/>
                <w:sz w:val="22"/>
              </w:rPr>
            </w:pPr>
            <w:r w:rsidRPr="00FD52B2">
              <w:rPr>
                <w:b/>
                <w:sz w:val="22"/>
              </w:rPr>
              <w:t xml:space="preserve">Position dans </w:t>
            </w:r>
            <w:r w:rsidR="00D0308A" w:rsidRPr="00FD52B2">
              <w:rPr>
                <w:b/>
                <w:sz w:val="22"/>
              </w:rPr>
              <w:t>l’organigramme de direction</w:t>
            </w:r>
            <w:r w:rsidR="00FD52B2" w:rsidRPr="00FD52B2">
              <w:rPr>
                <w:b/>
                <w:sz w:val="22"/>
              </w:rPr>
              <w:t xml:space="preserve"> au Centre Hospitalier du Rouvray et du Bois petit</w:t>
            </w:r>
            <w:r w:rsidRPr="00FD52B2">
              <w:rPr>
                <w:b/>
                <w:sz w:val="22"/>
              </w:rPr>
              <w:t xml:space="preserve"> :</w:t>
            </w:r>
            <w:r w:rsidR="0071709A" w:rsidRPr="00FD52B2">
              <w:rPr>
                <w:b/>
                <w:sz w:val="22"/>
              </w:rPr>
              <w:br/>
            </w:r>
          </w:p>
          <w:p w:rsidR="00BA06C4" w:rsidRPr="00B6288D" w:rsidRDefault="0071709A" w:rsidP="00BA06C4">
            <w:pPr>
              <w:numPr>
                <w:ilvl w:val="0"/>
                <w:numId w:val="1"/>
              </w:numPr>
              <w:tabs>
                <w:tab w:val="left" w:pos="585"/>
              </w:tabs>
              <w:rPr>
                <w:rFonts w:asciiTheme="minorHAnsi" w:hAnsiTheme="minorHAnsi" w:cs="Arial"/>
                <w:sz w:val="22"/>
              </w:rPr>
            </w:pPr>
            <w:r w:rsidRPr="00B6288D">
              <w:rPr>
                <w:rFonts w:asciiTheme="minorHAnsi" w:hAnsiTheme="minorHAnsi"/>
                <w:sz w:val="22"/>
              </w:rPr>
              <w:t>Liaisons hiérarchiques</w:t>
            </w:r>
          </w:p>
          <w:p w:rsidR="00BA06C4" w:rsidRPr="00B6288D"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 xml:space="preserve">Le Directeur </w:t>
            </w:r>
            <w:r w:rsidR="00FD52B2">
              <w:rPr>
                <w:rFonts w:asciiTheme="minorHAnsi" w:hAnsiTheme="minorHAnsi"/>
                <w:sz w:val="22"/>
              </w:rPr>
              <w:t>de l’établissement</w:t>
            </w:r>
          </w:p>
          <w:p w:rsidR="00BA06C4" w:rsidRPr="00B6288D" w:rsidRDefault="00BA06C4" w:rsidP="00BA06C4">
            <w:pPr>
              <w:pStyle w:val="Paragraphedeliste"/>
              <w:tabs>
                <w:tab w:val="left" w:pos="585"/>
              </w:tabs>
              <w:ind w:left="2007"/>
              <w:rPr>
                <w:rFonts w:asciiTheme="minorHAnsi" w:hAnsiTheme="minorHAnsi"/>
                <w:sz w:val="22"/>
              </w:rPr>
            </w:pPr>
          </w:p>
          <w:p w:rsidR="00BA06C4" w:rsidRPr="00B6288D" w:rsidRDefault="00BA06C4" w:rsidP="00BA06C4">
            <w:pPr>
              <w:numPr>
                <w:ilvl w:val="0"/>
                <w:numId w:val="1"/>
              </w:numPr>
              <w:tabs>
                <w:tab w:val="left" w:pos="585"/>
              </w:tabs>
              <w:rPr>
                <w:rFonts w:asciiTheme="minorHAnsi" w:hAnsiTheme="minorHAnsi"/>
                <w:sz w:val="22"/>
              </w:rPr>
            </w:pPr>
            <w:r w:rsidRPr="00B6288D">
              <w:rPr>
                <w:rFonts w:asciiTheme="minorHAnsi" w:hAnsiTheme="minorHAnsi"/>
                <w:sz w:val="22"/>
              </w:rPr>
              <w:t>Liaisons fonctionnelles</w:t>
            </w:r>
          </w:p>
          <w:p w:rsidR="00BA06C4"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La direction des soins et les cadres supérieurs de santé</w:t>
            </w:r>
            <w:r w:rsidR="00FD52B2">
              <w:rPr>
                <w:rFonts w:asciiTheme="minorHAnsi" w:hAnsiTheme="minorHAnsi"/>
                <w:sz w:val="22"/>
              </w:rPr>
              <w:t xml:space="preserve"> (DDS)</w:t>
            </w:r>
          </w:p>
          <w:p w:rsidR="00FD52B2" w:rsidRDefault="00FD52B2" w:rsidP="00B6288D">
            <w:pPr>
              <w:pStyle w:val="Paragraphedeliste"/>
              <w:numPr>
                <w:ilvl w:val="0"/>
                <w:numId w:val="6"/>
              </w:numPr>
              <w:tabs>
                <w:tab w:val="left" w:pos="585"/>
              </w:tabs>
              <w:spacing w:before="120"/>
              <w:ind w:left="2001" w:hanging="357"/>
              <w:contextualSpacing w:val="0"/>
              <w:rPr>
                <w:rFonts w:asciiTheme="minorHAnsi" w:hAnsiTheme="minorHAnsi"/>
                <w:sz w:val="22"/>
              </w:rPr>
            </w:pPr>
            <w:r>
              <w:rPr>
                <w:rFonts w:asciiTheme="minorHAnsi" w:hAnsiTheme="minorHAnsi"/>
                <w:sz w:val="22"/>
              </w:rPr>
              <w:t>La direction des ressources matérielles (DRM)</w:t>
            </w:r>
          </w:p>
          <w:p w:rsidR="00FD52B2" w:rsidRDefault="00FD52B2" w:rsidP="00B6288D">
            <w:pPr>
              <w:pStyle w:val="Paragraphedeliste"/>
              <w:numPr>
                <w:ilvl w:val="0"/>
                <w:numId w:val="6"/>
              </w:numPr>
              <w:tabs>
                <w:tab w:val="left" w:pos="585"/>
              </w:tabs>
              <w:spacing w:before="120"/>
              <w:ind w:left="2001" w:hanging="357"/>
              <w:contextualSpacing w:val="0"/>
              <w:rPr>
                <w:rFonts w:asciiTheme="minorHAnsi" w:hAnsiTheme="minorHAnsi"/>
                <w:sz w:val="22"/>
              </w:rPr>
            </w:pPr>
            <w:r>
              <w:rPr>
                <w:rFonts w:asciiTheme="minorHAnsi" w:hAnsiTheme="minorHAnsi"/>
                <w:sz w:val="22"/>
              </w:rPr>
              <w:t>La direction en charge de la qualité et de la prévention des risques (DUQAJ)</w:t>
            </w:r>
          </w:p>
          <w:p w:rsidR="00FD52B2" w:rsidRDefault="00FD52B2" w:rsidP="00B6288D">
            <w:pPr>
              <w:pStyle w:val="Paragraphedeliste"/>
              <w:numPr>
                <w:ilvl w:val="0"/>
                <w:numId w:val="6"/>
              </w:numPr>
              <w:tabs>
                <w:tab w:val="left" w:pos="585"/>
              </w:tabs>
              <w:spacing w:before="120"/>
              <w:ind w:left="2001" w:hanging="357"/>
              <w:contextualSpacing w:val="0"/>
              <w:rPr>
                <w:rFonts w:asciiTheme="minorHAnsi" w:hAnsiTheme="minorHAnsi"/>
                <w:sz w:val="22"/>
              </w:rPr>
            </w:pPr>
            <w:r>
              <w:rPr>
                <w:rFonts w:asciiTheme="minorHAnsi" w:hAnsiTheme="minorHAnsi"/>
                <w:sz w:val="22"/>
              </w:rPr>
              <w:t>La direction en charge des finances notamment concernant le contrôle de gestion sociale (DAGFSI)</w:t>
            </w:r>
          </w:p>
          <w:p w:rsidR="00FD52B2" w:rsidRPr="00B6288D" w:rsidRDefault="00FD52B2" w:rsidP="00B6288D">
            <w:pPr>
              <w:pStyle w:val="Paragraphedeliste"/>
              <w:numPr>
                <w:ilvl w:val="0"/>
                <w:numId w:val="6"/>
              </w:numPr>
              <w:tabs>
                <w:tab w:val="left" w:pos="585"/>
              </w:tabs>
              <w:spacing w:before="120"/>
              <w:ind w:left="2001" w:hanging="357"/>
              <w:contextualSpacing w:val="0"/>
              <w:rPr>
                <w:rFonts w:asciiTheme="minorHAnsi" w:hAnsiTheme="minorHAnsi"/>
                <w:sz w:val="22"/>
              </w:rPr>
            </w:pPr>
            <w:r>
              <w:rPr>
                <w:rFonts w:asciiTheme="minorHAnsi" w:hAnsiTheme="minorHAnsi"/>
                <w:sz w:val="22"/>
              </w:rPr>
              <w:t>La direction déléguée de site concernant le CHBP</w:t>
            </w:r>
          </w:p>
          <w:p w:rsidR="00BA06C4" w:rsidRPr="00B6288D"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L’ensemble des directions fonctionnelles</w:t>
            </w:r>
          </w:p>
          <w:p w:rsidR="00BA06C4" w:rsidRPr="00B6288D"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Les organisations syndicales</w:t>
            </w:r>
          </w:p>
          <w:p w:rsidR="00BA06C4" w:rsidRPr="00B6288D"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Les utilisateurs de</w:t>
            </w:r>
            <w:r w:rsidR="00FD52B2">
              <w:rPr>
                <w:rFonts w:asciiTheme="minorHAnsi" w:hAnsiTheme="minorHAnsi"/>
                <w:sz w:val="22"/>
              </w:rPr>
              <w:t>s services de la Direction des Ressources H</w:t>
            </w:r>
            <w:r w:rsidRPr="00B6288D">
              <w:rPr>
                <w:rFonts w:asciiTheme="minorHAnsi" w:hAnsiTheme="minorHAnsi"/>
                <w:sz w:val="22"/>
              </w:rPr>
              <w:t>umaines</w:t>
            </w:r>
          </w:p>
          <w:p w:rsidR="00BA06C4"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La médecine du travail</w:t>
            </w:r>
          </w:p>
          <w:p w:rsidR="00FD52B2" w:rsidRPr="00B6288D" w:rsidRDefault="00FD52B2" w:rsidP="00B6288D">
            <w:pPr>
              <w:pStyle w:val="Paragraphedeliste"/>
              <w:numPr>
                <w:ilvl w:val="0"/>
                <w:numId w:val="6"/>
              </w:numPr>
              <w:tabs>
                <w:tab w:val="left" w:pos="585"/>
              </w:tabs>
              <w:spacing w:before="120"/>
              <w:ind w:left="2001" w:hanging="357"/>
              <w:contextualSpacing w:val="0"/>
              <w:rPr>
                <w:rFonts w:asciiTheme="minorHAnsi" w:hAnsiTheme="minorHAnsi"/>
                <w:sz w:val="22"/>
              </w:rPr>
            </w:pPr>
            <w:r>
              <w:rPr>
                <w:rFonts w:asciiTheme="minorHAnsi" w:hAnsiTheme="minorHAnsi"/>
                <w:sz w:val="22"/>
              </w:rPr>
              <w:t>Le PCME</w:t>
            </w:r>
          </w:p>
          <w:p w:rsidR="00BA06C4" w:rsidRPr="00B6288D" w:rsidRDefault="00BA06C4" w:rsidP="00B6288D">
            <w:pPr>
              <w:pStyle w:val="Paragraphedeliste"/>
              <w:numPr>
                <w:ilvl w:val="0"/>
                <w:numId w:val="6"/>
              </w:numPr>
              <w:tabs>
                <w:tab w:val="left" w:pos="585"/>
              </w:tabs>
              <w:spacing w:before="120"/>
              <w:ind w:left="2001" w:hanging="357"/>
              <w:contextualSpacing w:val="0"/>
              <w:rPr>
                <w:rFonts w:asciiTheme="minorHAnsi" w:hAnsiTheme="minorHAnsi"/>
                <w:sz w:val="22"/>
              </w:rPr>
            </w:pPr>
            <w:r w:rsidRPr="00B6288D">
              <w:rPr>
                <w:rFonts w:asciiTheme="minorHAnsi" w:hAnsiTheme="minorHAnsi"/>
                <w:sz w:val="22"/>
              </w:rPr>
              <w:t>Les partenaires extérieurs (ANFH, FIPHFP, CGOS</w:t>
            </w:r>
            <w:r w:rsidR="00FD52B2">
              <w:rPr>
                <w:rFonts w:asciiTheme="minorHAnsi" w:hAnsiTheme="minorHAnsi"/>
                <w:sz w:val="22"/>
              </w:rPr>
              <w:t>, GHT, ARS…</w:t>
            </w:r>
            <w:r w:rsidRPr="00B6288D">
              <w:rPr>
                <w:rFonts w:asciiTheme="minorHAnsi" w:hAnsiTheme="minorHAnsi"/>
                <w:sz w:val="22"/>
              </w:rPr>
              <w:t>)</w:t>
            </w:r>
          </w:p>
          <w:p w:rsidR="00BA06C4" w:rsidRDefault="00BA06C4" w:rsidP="00BA06C4">
            <w:pPr>
              <w:tabs>
                <w:tab w:val="left" w:pos="585"/>
              </w:tabs>
              <w:spacing w:before="120"/>
              <w:ind w:left="567" w:right="66"/>
              <w:jc w:val="both"/>
              <w:rPr>
                <w:rFonts w:asciiTheme="minorHAnsi" w:hAnsiTheme="minorHAnsi"/>
                <w:sz w:val="22"/>
              </w:rPr>
            </w:pPr>
            <w:r w:rsidRPr="00B6288D">
              <w:rPr>
                <w:rFonts w:asciiTheme="minorHAnsi" w:hAnsiTheme="minorHAnsi"/>
                <w:sz w:val="22"/>
              </w:rPr>
              <w:t>Le directeur des ressources humaines</w:t>
            </w:r>
            <w:r w:rsidR="00FD52B2">
              <w:rPr>
                <w:rFonts w:asciiTheme="minorHAnsi" w:hAnsiTheme="minorHAnsi"/>
                <w:sz w:val="22"/>
              </w:rPr>
              <w:t xml:space="preserve"> et des affaires médicales</w:t>
            </w:r>
            <w:r w:rsidRPr="00B6288D">
              <w:rPr>
                <w:rFonts w:asciiTheme="minorHAnsi" w:hAnsiTheme="minorHAnsi"/>
                <w:sz w:val="22"/>
              </w:rPr>
              <w:t xml:space="preserve"> est placé sous l’autorité du Directeur </w:t>
            </w:r>
            <w:r w:rsidR="00FD52B2">
              <w:rPr>
                <w:rFonts w:asciiTheme="minorHAnsi" w:hAnsiTheme="minorHAnsi"/>
                <w:sz w:val="22"/>
              </w:rPr>
              <w:t>du CHR</w:t>
            </w:r>
            <w:r w:rsidRPr="00B6288D">
              <w:rPr>
                <w:rFonts w:asciiTheme="minorHAnsi" w:hAnsiTheme="minorHAnsi"/>
                <w:sz w:val="22"/>
              </w:rPr>
              <w:t xml:space="preserve">. Il travaille en étroite collaboration avec </w:t>
            </w:r>
            <w:r w:rsidR="00FD52B2">
              <w:rPr>
                <w:rFonts w:asciiTheme="minorHAnsi" w:hAnsiTheme="minorHAnsi"/>
                <w:sz w:val="22"/>
              </w:rPr>
              <w:t>l’équipe de direction dont la direction des soins, la direction des ressources matérielles, la direction de site, le conseiller en prévention des risques professionnels, le contrôleur de gestion sociale et le médecin du travail.</w:t>
            </w:r>
          </w:p>
          <w:p w:rsidR="00FD52B2" w:rsidRDefault="00FD52B2" w:rsidP="00FD52B2">
            <w:pPr>
              <w:tabs>
                <w:tab w:val="left" w:pos="585"/>
              </w:tabs>
              <w:ind w:right="66"/>
              <w:jc w:val="both"/>
              <w:rPr>
                <w:rFonts w:asciiTheme="minorHAnsi" w:hAnsiTheme="minorHAnsi"/>
                <w:sz w:val="22"/>
              </w:rPr>
            </w:pPr>
          </w:p>
          <w:p w:rsidR="00BA06C4" w:rsidRPr="00B6288D" w:rsidRDefault="00BA06C4" w:rsidP="00FD52B2">
            <w:pPr>
              <w:tabs>
                <w:tab w:val="left" w:pos="585"/>
              </w:tabs>
              <w:ind w:right="66"/>
              <w:jc w:val="both"/>
              <w:rPr>
                <w:rFonts w:asciiTheme="minorHAnsi" w:hAnsiTheme="minorHAnsi"/>
                <w:sz w:val="22"/>
              </w:rPr>
            </w:pPr>
            <w:r w:rsidRPr="00B6288D">
              <w:rPr>
                <w:rFonts w:asciiTheme="minorHAnsi" w:hAnsiTheme="minorHAnsi"/>
                <w:sz w:val="22"/>
              </w:rPr>
              <w:t>Il est évalué annuellement par le Directeur.</w:t>
            </w:r>
          </w:p>
          <w:p w:rsidR="00BA06C4" w:rsidRPr="00BA06C4" w:rsidRDefault="00BA06C4" w:rsidP="00BA06C4">
            <w:pPr>
              <w:autoSpaceDE w:val="0"/>
              <w:autoSpaceDN w:val="0"/>
              <w:adjustRightInd w:val="0"/>
              <w:rPr>
                <w:rFonts w:ascii="Cambria" w:hAnsi="Cambria" w:cs="Cambria"/>
                <w:color w:val="000000"/>
                <w:sz w:val="24"/>
                <w:szCs w:val="24"/>
              </w:rPr>
            </w:pPr>
          </w:p>
          <w:p w:rsidR="00BA06C4" w:rsidRPr="00FD52B2" w:rsidRDefault="00BA06C4" w:rsidP="00D42F92">
            <w:pPr>
              <w:autoSpaceDE w:val="0"/>
              <w:autoSpaceDN w:val="0"/>
              <w:adjustRightInd w:val="0"/>
              <w:ind w:left="567"/>
              <w:rPr>
                <w:rFonts w:ascii="Cambria" w:hAnsi="Cambria" w:cs="Cambria"/>
                <w:color w:val="000000"/>
                <w:sz w:val="28"/>
                <w:szCs w:val="28"/>
              </w:rPr>
            </w:pPr>
            <w:r w:rsidRPr="00FD52B2">
              <w:rPr>
                <w:rFonts w:ascii="Cambria" w:hAnsi="Cambria" w:cs="Cambria"/>
                <w:b/>
                <w:bCs/>
                <w:color w:val="000000"/>
                <w:sz w:val="28"/>
                <w:szCs w:val="28"/>
              </w:rPr>
              <w:t xml:space="preserve">Présentation de la Direction des ressources humaines </w:t>
            </w:r>
          </w:p>
          <w:p w:rsidR="00BA06C4" w:rsidRPr="00BA06C4" w:rsidRDefault="00FD52B2" w:rsidP="00B6288D">
            <w:pPr>
              <w:autoSpaceDE w:val="0"/>
              <w:autoSpaceDN w:val="0"/>
              <w:adjustRightInd w:val="0"/>
              <w:spacing w:before="120"/>
              <w:ind w:left="567"/>
              <w:jc w:val="both"/>
              <w:rPr>
                <w:rFonts w:ascii="Calibri" w:hAnsi="Calibri" w:cs="Calibri"/>
                <w:color w:val="000000"/>
                <w:sz w:val="22"/>
              </w:rPr>
            </w:pPr>
            <w:r>
              <w:rPr>
                <w:rFonts w:ascii="Calibri" w:hAnsi="Calibri" w:cs="Calibri"/>
                <w:color w:val="000000"/>
                <w:sz w:val="22"/>
              </w:rPr>
              <w:t>La Direction des Ressources H</w:t>
            </w:r>
            <w:r w:rsidR="00BA06C4" w:rsidRPr="00BA06C4">
              <w:rPr>
                <w:rFonts w:ascii="Calibri" w:hAnsi="Calibri" w:cs="Calibri"/>
                <w:color w:val="000000"/>
                <w:sz w:val="22"/>
              </w:rPr>
              <w:t xml:space="preserve">umaines </w:t>
            </w:r>
            <w:r>
              <w:rPr>
                <w:rFonts w:ascii="Calibri" w:hAnsi="Calibri" w:cs="Calibri"/>
                <w:color w:val="000000"/>
                <w:sz w:val="22"/>
              </w:rPr>
              <w:t xml:space="preserve">et des Affaires Médicales, avec l’appui d’un adjoint au directeur des ressources humaines,  </w:t>
            </w:r>
            <w:r w:rsidR="00BA06C4" w:rsidRPr="00BA06C4">
              <w:rPr>
                <w:rFonts w:ascii="Calibri" w:hAnsi="Calibri" w:cs="Calibri"/>
                <w:color w:val="000000"/>
                <w:sz w:val="22"/>
              </w:rPr>
              <w:t xml:space="preserve">initie la politique de gestion du personnel, de gestion prévisionnelle des emplois et des compétences, et veille aux modalités du dialogue social. Elle assure l’élaboration et la mise en </w:t>
            </w:r>
            <w:r w:rsidR="00B6288D" w:rsidRPr="00BA06C4">
              <w:rPr>
                <w:rFonts w:ascii="Calibri" w:hAnsi="Calibri" w:cs="Calibri"/>
                <w:color w:val="000000"/>
                <w:sz w:val="22"/>
              </w:rPr>
              <w:t>œuvre</w:t>
            </w:r>
            <w:r w:rsidR="00BA06C4" w:rsidRPr="00BA06C4">
              <w:rPr>
                <w:rFonts w:ascii="Calibri" w:hAnsi="Calibri" w:cs="Calibri"/>
                <w:color w:val="000000"/>
                <w:sz w:val="22"/>
              </w:rPr>
              <w:t xml:space="preserve"> du projet social, ainsi que la gestion et le s</w:t>
            </w:r>
            <w:r>
              <w:rPr>
                <w:rFonts w:ascii="Calibri" w:hAnsi="Calibri" w:cs="Calibri"/>
                <w:color w:val="000000"/>
                <w:sz w:val="22"/>
              </w:rPr>
              <w:t xml:space="preserve">uivi des ressources humaines et médicales </w:t>
            </w:r>
            <w:r w:rsidR="00BA06C4" w:rsidRPr="00BA06C4">
              <w:rPr>
                <w:rFonts w:ascii="Calibri" w:hAnsi="Calibri" w:cs="Calibri"/>
                <w:color w:val="000000"/>
                <w:sz w:val="22"/>
              </w:rPr>
              <w:t xml:space="preserve">de manière qualitative, quantitative et financière. </w:t>
            </w:r>
          </w:p>
          <w:p w:rsidR="00FD52B2" w:rsidRPr="00FD52B2" w:rsidRDefault="00BA06C4" w:rsidP="00FD52B2">
            <w:pPr>
              <w:pStyle w:val="Paragraphedeliste"/>
              <w:numPr>
                <w:ilvl w:val="0"/>
                <w:numId w:val="13"/>
              </w:numPr>
              <w:tabs>
                <w:tab w:val="left" w:pos="585"/>
              </w:tabs>
              <w:spacing w:before="120"/>
              <w:ind w:right="66"/>
              <w:jc w:val="both"/>
              <w:rPr>
                <w:rFonts w:asciiTheme="minorHAnsi" w:hAnsiTheme="minorHAnsi"/>
                <w:sz w:val="22"/>
              </w:rPr>
            </w:pPr>
            <w:r w:rsidRPr="00FD52B2">
              <w:rPr>
                <w:rFonts w:ascii="Calibri" w:hAnsi="Calibri" w:cs="Calibri"/>
                <w:b/>
                <w:color w:val="000000"/>
                <w:sz w:val="22"/>
              </w:rPr>
              <w:t xml:space="preserve">La DRH </w:t>
            </w:r>
            <w:r w:rsidR="00FD52B2" w:rsidRPr="00FD52B2">
              <w:rPr>
                <w:rFonts w:ascii="Calibri" w:hAnsi="Calibri" w:cs="Calibri"/>
                <w:b/>
                <w:color w:val="000000"/>
                <w:sz w:val="22"/>
              </w:rPr>
              <w:t>du CHR</w:t>
            </w:r>
            <w:r w:rsidRPr="00FD52B2">
              <w:rPr>
                <w:rFonts w:ascii="Calibri" w:hAnsi="Calibri" w:cs="Calibri"/>
                <w:color w:val="000000"/>
                <w:sz w:val="22"/>
              </w:rPr>
              <w:t xml:space="preserve">comprend </w:t>
            </w:r>
            <w:r w:rsidR="00FD52B2" w:rsidRPr="00FD52B2">
              <w:rPr>
                <w:rFonts w:ascii="Calibri" w:hAnsi="Calibri" w:cs="Calibri"/>
                <w:color w:val="000000"/>
                <w:sz w:val="22"/>
              </w:rPr>
              <w:t>2</w:t>
            </w:r>
            <w:r w:rsidR="00C13A66">
              <w:rPr>
                <w:rFonts w:ascii="Calibri" w:hAnsi="Calibri" w:cs="Calibri"/>
                <w:color w:val="000000"/>
                <w:sz w:val="22"/>
              </w:rPr>
              <w:t>2</w:t>
            </w:r>
            <w:r w:rsidRPr="00FD52B2">
              <w:rPr>
                <w:rFonts w:ascii="Calibri" w:hAnsi="Calibri" w:cs="Calibri"/>
                <w:color w:val="000000"/>
                <w:sz w:val="22"/>
              </w:rPr>
              <w:t xml:space="preserve"> agents. </w:t>
            </w:r>
            <w:r w:rsidR="00FD52B2" w:rsidRPr="00FD52B2">
              <w:rPr>
                <w:rFonts w:asciiTheme="minorHAnsi" w:hAnsiTheme="minorHAnsi"/>
                <w:sz w:val="22"/>
              </w:rPr>
              <w:t xml:space="preserve">Le directeur des ressources humaines et des affaires médicales est assisté d’un adjoint, d’un AAH et de deux ADC, d’un responsable formation et d’un responsable du service des affaires médicales. </w:t>
            </w:r>
          </w:p>
          <w:p w:rsidR="00BA06C4" w:rsidRPr="00BA06C4" w:rsidRDefault="00BA06C4" w:rsidP="00FD52B2">
            <w:pPr>
              <w:autoSpaceDE w:val="0"/>
              <w:autoSpaceDN w:val="0"/>
              <w:adjustRightInd w:val="0"/>
              <w:spacing w:before="120"/>
              <w:rPr>
                <w:rFonts w:ascii="Calibri" w:hAnsi="Calibri" w:cs="Calibri"/>
                <w:color w:val="000000"/>
                <w:sz w:val="22"/>
              </w:rPr>
            </w:pPr>
            <w:r w:rsidRPr="00BA06C4">
              <w:rPr>
                <w:rFonts w:ascii="Calibri" w:hAnsi="Calibri" w:cs="Calibri"/>
                <w:color w:val="000000"/>
                <w:sz w:val="22"/>
              </w:rPr>
              <w:t xml:space="preserve">Elle est composée des secteurs suivants : </w:t>
            </w:r>
          </w:p>
          <w:p w:rsidR="00BA06C4" w:rsidRDefault="00C13A66" w:rsidP="00B6288D">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Service</w:t>
            </w:r>
            <w:r w:rsidR="00FD52B2">
              <w:rPr>
                <w:rFonts w:ascii="Calibri" w:hAnsi="Calibri" w:cs="Calibri"/>
                <w:color w:val="000000"/>
                <w:sz w:val="22"/>
              </w:rPr>
              <w:t xml:space="preserve"> des affaires médicales </w:t>
            </w:r>
            <w:r>
              <w:rPr>
                <w:rFonts w:ascii="Calibri" w:hAnsi="Calibri" w:cs="Calibri"/>
                <w:color w:val="000000"/>
                <w:sz w:val="22"/>
              </w:rPr>
              <w:t>(2 ADC et 1 AA)</w:t>
            </w:r>
          </w:p>
          <w:p w:rsidR="00FD52B2" w:rsidRDefault="00FD52B2" w:rsidP="00B6288D">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Gestion des carrières</w:t>
            </w:r>
            <w:r w:rsidR="00C13A66">
              <w:rPr>
                <w:rFonts w:ascii="Calibri" w:hAnsi="Calibri" w:cs="Calibri"/>
                <w:color w:val="000000"/>
                <w:sz w:val="22"/>
              </w:rPr>
              <w:t xml:space="preserve"> (1 ADC et 1 AA)</w:t>
            </w:r>
          </w:p>
          <w:p w:rsidR="00FD52B2" w:rsidRDefault="00FD52B2" w:rsidP="00B6288D">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Gestion des CAP, CAPD et CCP</w:t>
            </w:r>
          </w:p>
          <w:p w:rsidR="00FD52B2" w:rsidRDefault="00FD52B2" w:rsidP="00B6288D">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Gestion de la paye</w:t>
            </w:r>
            <w:r w:rsidR="00C13A66">
              <w:rPr>
                <w:rFonts w:ascii="Calibri" w:hAnsi="Calibri" w:cs="Calibri"/>
                <w:color w:val="000000"/>
                <w:sz w:val="22"/>
              </w:rPr>
              <w:t xml:space="preserve"> (1 AAH et 3 AA)</w:t>
            </w:r>
          </w:p>
          <w:p w:rsidR="00FD52B2" w:rsidRDefault="00FD52B2" w:rsidP="00B6288D">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Gestion administrative</w:t>
            </w:r>
            <w:r w:rsidR="00C13A66">
              <w:rPr>
                <w:rFonts w:ascii="Calibri" w:hAnsi="Calibri" w:cs="Calibri"/>
                <w:color w:val="000000"/>
                <w:sz w:val="22"/>
              </w:rPr>
              <w:t xml:space="preserve"> (5 AA et 1 ADC en lien avec la DDS)</w:t>
            </w:r>
          </w:p>
          <w:p w:rsidR="00FD52B2" w:rsidRDefault="00FD52B2" w:rsidP="00FD52B2">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Service formation continue</w:t>
            </w:r>
            <w:r w:rsidR="00C13A66">
              <w:rPr>
                <w:rFonts w:ascii="Calibri" w:hAnsi="Calibri" w:cs="Calibri"/>
                <w:color w:val="000000"/>
                <w:sz w:val="22"/>
              </w:rPr>
              <w:t xml:space="preserve"> (1 CS et 3 AA)</w:t>
            </w:r>
          </w:p>
          <w:p w:rsidR="00FD52B2" w:rsidRDefault="00C13A66" w:rsidP="00FD52B2">
            <w:pPr>
              <w:pStyle w:val="Paragraphedeliste"/>
              <w:numPr>
                <w:ilvl w:val="0"/>
                <w:numId w:val="7"/>
              </w:numPr>
              <w:autoSpaceDE w:val="0"/>
              <w:autoSpaceDN w:val="0"/>
              <w:adjustRightInd w:val="0"/>
              <w:spacing w:before="120" w:after="30"/>
              <w:ind w:left="1281" w:hanging="357"/>
              <w:contextualSpacing w:val="0"/>
              <w:rPr>
                <w:rFonts w:ascii="Calibri" w:hAnsi="Calibri" w:cs="Calibri"/>
                <w:color w:val="000000"/>
                <w:sz w:val="22"/>
              </w:rPr>
            </w:pPr>
            <w:r>
              <w:rPr>
                <w:rFonts w:ascii="Calibri" w:hAnsi="Calibri" w:cs="Calibri"/>
                <w:color w:val="000000"/>
                <w:sz w:val="22"/>
              </w:rPr>
              <w:t>Crèche du personnel</w:t>
            </w:r>
          </w:p>
          <w:p w:rsidR="00026F88" w:rsidRPr="00026F88" w:rsidRDefault="00026F88" w:rsidP="00026F88">
            <w:pPr>
              <w:pStyle w:val="Paragraphedeliste"/>
              <w:autoSpaceDE w:val="0"/>
              <w:autoSpaceDN w:val="0"/>
              <w:adjustRightInd w:val="0"/>
              <w:spacing w:before="120" w:after="30"/>
              <w:ind w:left="1281"/>
              <w:contextualSpacing w:val="0"/>
              <w:rPr>
                <w:rFonts w:ascii="Calibri" w:hAnsi="Calibri" w:cs="Calibri"/>
                <w:color w:val="000000"/>
                <w:sz w:val="22"/>
              </w:rPr>
            </w:pPr>
          </w:p>
          <w:p w:rsidR="00FD52B2" w:rsidRPr="00FD52B2" w:rsidRDefault="00FD52B2" w:rsidP="00FD52B2">
            <w:pPr>
              <w:pStyle w:val="Paragraphedeliste"/>
              <w:numPr>
                <w:ilvl w:val="0"/>
                <w:numId w:val="13"/>
              </w:numPr>
              <w:autoSpaceDE w:val="0"/>
              <w:autoSpaceDN w:val="0"/>
              <w:adjustRightInd w:val="0"/>
              <w:spacing w:before="120" w:after="30"/>
              <w:rPr>
                <w:rFonts w:ascii="Calibri" w:hAnsi="Calibri" w:cs="Calibri"/>
                <w:color w:val="000000"/>
                <w:sz w:val="22"/>
              </w:rPr>
            </w:pPr>
            <w:r w:rsidRPr="00FD52B2">
              <w:rPr>
                <w:rFonts w:ascii="Calibri" w:hAnsi="Calibri" w:cs="Calibri"/>
                <w:b/>
                <w:color w:val="000000"/>
                <w:sz w:val="22"/>
              </w:rPr>
              <w:t>La DRH du CHBP</w:t>
            </w:r>
            <w:r w:rsidRPr="00FD52B2">
              <w:rPr>
                <w:rFonts w:ascii="Calibri" w:hAnsi="Calibri" w:cs="Calibri"/>
                <w:color w:val="000000"/>
                <w:sz w:val="22"/>
              </w:rPr>
              <w:t xml:space="preserve"> comprend</w:t>
            </w:r>
            <w:r>
              <w:rPr>
                <w:rFonts w:ascii="Calibri" w:hAnsi="Calibri" w:cs="Calibri"/>
                <w:color w:val="000000"/>
                <w:sz w:val="22"/>
              </w:rPr>
              <w:t xml:space="preserve"> 4 agents et une responsable RH.</w:t>
            </w:r>
          </w:p>
          <w:p w:rsidR="00BA06C4" w:rsidRPr="00BA06C4" w:rsidRDefault="00BA06C4" w:rsidP="00D42F92">
            <w:pPr>
              <w:autoSpaceDE w:val="0"/>
              <w:autoSpaceDN w:val="0"/>
              <w:adjustRightInd w:val="0"/>
              <w:ind w:left="567"/>
              <w:rPr>
                <w:rFonts w:ascii="Calibri" w:hAnsi="Calibri" w:cs="Calibri"/>
                <w:color w:val="000000"/>
                <w:sz w:val="22"/>
              </w:rPr>
            </w:pPr>
          </w:p>
          <w:p w:rsidR="00BA06C4" w:rsidRPr="00BA06C4" w:rsidRDefault="00BA06C4" w:rsidP="00D42F92">
            <w:pPr>
              <w:autoSpaceDE w:val="0"/>
              <w:autoSpaceDN w:val="0"/>
              <w:adjustRightInd w:val="0"/>
              <w:ind w:left="567"/>
              <w:rPr>
                <w:rFonts w:ascii="Calibri" w:hAnsi="Calibri" w:cs="Calibri"/>
                <w:color w:val="000000"/>
                <w:sz w:val="22"/>
              </w:rPr>
            </w:pPr>
            <w:r w:rsidRPr="00BA06C4">
              <w:rPr>
                <w:rFonts w:ascii="Calibri" w:hAnsi="Calibri" w:cs="Calibri"/>
                <w:color w:val="000000"/>
                <w:sz w:val="22"/>
              </w:rPr>
              <w:t xml:space="preserve">Est également rattachée à la Direction des ressources humaines : </w:t>
            </w:r>
          </w:p>
          <w:p w:rsidR="00BA06C4" w:rsidRDefault="00BA06C4" w:rsidP="00B6288D">
            <w:pPr>
              <w:pStyle w:val="Paragraphedeliste"/>
              <w:numPr>
                <w:ilvl w:val="1"/>
                <w:numId w:val="9"/>
              </w:numPr>
              <w:autoSpaceDE w:val="0"/>
              <w:autoSpaceDN w:val="0"/>
              <w:adjustRightInd w:val="0"/>
              <w:spacing w:before="120"/>
              <w:ind w:left="1276" w:hanging="284"/>
              <w:contextualSpacing w:val="0"/>
              <w:rPr>
                <w:rFonts w:ascii="Calibri" w:hAnsi="Calibri" w:cs="Calibri"/>
                <w:color w:val="000000"/>
                <w:sz w:val="22"/>
              </w:rPr>
            </w:pPr>
            <w:r w:rsidRPr="00D42F92">
              <w:rPr>
                <w:rFonts w:ascii="Calibri" w:hAnsi="Calibri" w:cs="Calibri"/>
                <w:color w:val="000000"/>
                <w:sz w:val="22"/>
              </w:rPr>
              <w:t xml:space="preserve">La médecine du travail </w:t>
            </w:r>
            <w:r w:rsidR="00FD52B2">
              <w:rPr>
                <w:rFonts w:ascii="Calibri" w:hAnsi="Calibri" w:cs="Calibri"/>
                <w:color w:val="000000"/>
                <w:sz w:val="22"/>
              </w:rPr>
              <w:t>mutualisée entre le CHBP et le CHR</w:t>
            </w:r>
          </w:p>
          <w:p w:rsidR="00BA06C4" w:rsidRPr="00BA06C4" w:rsidRDefault="00BA06C4" w:rsidP="00BA06C4">
            <w:pPr>
              <w:autoSpaceDE w:val="0"/>
              <w:autoSpaceDN w:val="0"/>
              <w:adjustRightInd w:val="0"/>
              <w:rPr>
                <w:rFonts w:ascii="Calibri" w:hAnsi="Calibri" w:cs="Calibri"/>
                <w:color w:val="000000"/>
                <w:sz w:val="22"/>
              </w:rPr>
            </w:pPr>
          </w:p>
          <w:p w:rsidR="00FD52B2" w:rsidRDefault="00FD52B2" w:rsidP="00FD52B2">
            <w:pPr>
              <w:spacing w:before="120"/>
              <w:ind w:left="567"/>
              <w:jc w:val="both"/>
              <w:rPr>
                <w:rFonts w:ascii="Calibri" w:hAnsi="Calibri" w:cs="Calibri"/>
                <w:color w:val="000000"/>
                <w:sz w:val="22"/>
              </w:rPr>
            </w:pPr>
            <w:r>
              <w:rPr>
                <w:rFonts w:ascii="Calibri" w:hAnsi="Calibri" w:cs="Calibri"/>
                <w:color w:val="000000"/>
                <w:sz w:val="22"/>
              </w:rPr>
              <w:t xml:space="preserve">La direction des ressources humaines a engagé un travail de réorganisation formalisé par un projet de service travaillé avec les équipes afin d’améliorer l’accueil des agents, le suivi des situations RH et fluidifier le fonctionnement du service. Sa mise en œuvre est programmée en 2021. </w:t>
            </w:r>
            <w:r w:rsidR="00C13A66">
              <w:rPr>
                <w:rFonts w:ascii="Calibri" w:hAnsi="Calibri" w:cs="Calibri"/>
                <w:color w:val="000000"/>
                <w:sz w:val="22"/>
              </w:rPr>
              <w:t>Par redéploiement, le service des affaires médicales dispose d’un troisième agent ADC depuis peu.</w:t>
            </w:r>
          </w:p>
          <w:p w:rsidR="00FD52B2" w:rsidRPr="00C13A66" w:rsidRDefault="0071709A" w:rsidP="00FD52B2">
            <w:pPr>
              <w:spacing w:before="120"/>
              <w:ind w:left="567"/>
              <w:jc w:val="both"/>
              <w:rPr>
                <w:rFonts w:ascii="Calibri" w:hAnsi="Calibri" w:cs="Calibri"/>
                <w:b/>
                <w:color w:val="000000"/>
                <w:sz w:val="22"/>
              </w:rPr>
            </w:pPr>
            <w:r w:rsidRPr="00C13A66">
              <w:rPr>
                <w:b/>
                <w:sz w:val="22"/>
              </w:rPr>
              <w:t>Missions générales, permanentes et spécifiques :</w:t>
            </w:r>
          </w:p>
          <w:p w:rsidR="00971981" w:rsidRPr="00C13A66" w:rsidRDefault="00971981" w:rsidP="00FD52B2">
            <w:pPr>
              <w:spacing w:before="120"/>
              <w:ind w:left="567"/>
              <w:jc w:val="both"/>
              <w:rPr>
                <w:rFonts w:ascii="Calibri" w:hAnsi="Calibri" w:cs="Calibri"/>
                <w:b/>
                <w:color w:val="000000"/>
                <w:sz w:val="22"/>
              </w:rPr>
            </w:pPr>
            <w:r w:rsidRPr="00C13A66">
              <w:rPr>
                <w:rFonts w:ascii="Arial" w:eastAsiaTheme="minorHAnsi" w:hAnsi="Arial" w:cs="Arial"/>
                <w:b/>
                <w:color w:val="000000"/>
                <w:szCs w:val="20"/>
                <w:u w:val="single"/>
                <w:lang w:eastAsia="en-US"/>
              </w:rPr>
              <w:t xml:space="preserve">Les </w:t>
            </w:r>
            <w:r w:rsidR="00FD52B2" w:rsidRPr="00C13A66">
              <w:rPr>
                <w:rFonts w:ascii="Arial" w:eastAsiaTheme="minorHAnsi" w:hAnsi="Arial" w:cs="Arial"/>
                <w:b/>
                <w:color w:val="000000"/>
                <w:szCs w:val="20"/>
                <w:u w:val="single"/>
                <w:lang w:eastAsia="en-US"/>
              </w:rPr>
              <w:t>missions</w:t>
            </w:r>
            <w:r w:rsidR="00FD52B2" w:rsidRPr="00C13A66">
              <w:rPr>
                <w:rFonts w:ascii="Arial" w:eastAsiaTheme="minorHAnsi" w:hAnsi="Arial" w:cs="Arial"/>
                <w:b/>
                <w:color w:val="000000"/>
                <w:szCs w:val="20"/>
                <w:lang w:eastAsia="en-US"/>
              </w:rPr>
              <w:t xml:space="preserve"> :</w:t>
            </w:r>
          </w:p>
          <w:p w:rsidR="00BA06C4" w:rsidRPr="00BA06C4" w:rsidRDefault="00BA06C4" w:rsidP="0007040B">
            <w:pPr>
              <w:autoSpaceDE w:val="0"/>
              <w:autoSpaceDN w:val="0"/>
              <w:adjustRightInd w:val="0"/>
              <w:spacing w:before="120"/>
              <w:ind w:left="567"/>
              <w:jc w:val="both"/>
              <w:rPr>
                <w:rFonts w:ascii="Calibri" w:hAnsi="Calibri" w:cs="Calibri"/>
                <w:color w:val="000000"/>
                <w:sz w:val="22"/>
              </w:rPr>
            </w:pPr>
            <w:r w:rsidRPr="00BA06C4">
              <w:rPr>
                <w:rFonts w:ascii="Calibri" w:hAnsi="Calibri" w:cs="Calibri"/>
                <w:color w:val="000000"/>
                <w:sz w:val="22"/>
              </w:rPr>
              <w:t xml:space="preserve">Le directeur des ressources humaines </w:t>
            </w:r>
            <w:r w:rsidR="00FD52B2">
              <w:rPr>
                <w:rFonts w:ascii="Calibri" w:hAnsi="Calibri" w:cs="Calibri"/>
                <w:color w:val="000000"/>
                <w:sz w:val="22"/>
              </w:rPr>
              <w:t xml:space="preserve">et des affaires médicales </w:t>
            </w:r>
            <w:r w:rsidRPr="00BA06C4">
              <w:rPr>
                <w:rFonts w:ascii="Calibri" w:hAnsi="Calibri" w:cs="Calibri"/>
                <w:color w:val="000000"/>
                <w:sz w:val="22"/>
              </w:rPr>
              <w:t>est un c</w:t>
            </w:r>
            <w:r w:rsidR="00C13A66">
              <w:rPr>
                <w:rFonts w:ascii="Calibri" w:hAnsi="Calibri" w:cs="Calibri"/>
                <w:color w:val="000000"/>
                <w:sz w:val="22"/>
              </w:rPr>
              <w:t>ollaborateur direct du Directeu</w:t>
            </w:r>
            <w:r w:rsidRPr="00BA06C4">
              <w:rPr>
                <w:rFonts w:ascii="Calibri" w:hAnsi="Calibri" w:cs="Calibri"/>
                <w:color w:val="000000"/>
                <w:sz w:val="22"/>
              </w:rPr>
              <w:t xml:space="preserve">r. Il participe également, au sein de la direction, à la définition et au suivi de la politique générale de l’établissement. </w:t>
            </w:r>
          </w:p>
          <w:p w:rsidR="00BA06C4" w:rsidRPr="00BA06C4" w:rsidRDefault="00BA06C4" w:rsidP="0007040B">
            <w:pPr>
              <w:autoSpaceDE w:val="0"/>
              <w:autoSpaceDN w:val="0"/>
              <w:adjustRightInd w:val="0"/>
              <w:spacing w:before="120"/>
              <w:ind w:left="567"/>
              <w:jc w:val="both"/>
              <w:rPr>
                <w:rFonts w:ascii="Calibri" w:hAnsi="Calibri" w:cs="Calibri"/>
                <w:color w:val="000000"/>
                <w:sz w:val="22"/>
              </w:rPr>
            </w:pPr>
            <w:r w:rsidRPr="00BA06C4">
              <w:rPr>
                <w:rFonts w:ascii="Calibri" w:hAnsi="Calibri" w:cs="Calibri"/>
                <w:color w:val="000000"/>
                <w:sz w:val="22"/>
              </w:rPr>
              <w:t>De manière générale, le directeur des ressources humaines</w:t>
            </w:r>
            <w:r w:rsidR="00FD52B2">
              <w:rPr>
                <w:rFonts w:ascii="Calibri" w:hAnsi="Calibri" w:cs="Calibri"/>
                <w:color w:val="000000"/>
                <w:sz w:val="22"/>
              </w:rPr>
              <w:t xml:space="preserve"> et des affaires médicales</w:t>
            </w:r>
            <w:r w:rsidRPr="00BA06C4">
              <w:rPr>
                <w:rFonts w:ascii="Calibri" w:hAnsi="Calibri" w:cs="Calibri"/>
                <w:color w:val="000000"/>
                <w:sz w:val="22"/>
              </w:rPr>
              <w:t xml:space="preserve"> est en charge, pour le personnel médical et pour le personnel non-médical, de la formation, des conditions de travail, de la gestion sociale et de la qualité de vie au travail. </w:t>
            </w:r>
          </w:p>
          <w:p w:rsidR="00BA06C4" w:rsidRPr="00C13A66" w:rsidRDefault="00BA06C4" w:rsidP="00C13A66">
            <w:pPr>
              <w:spacing w:before="120"/>
              <w:ind w:left="567"/>
              <w:jc w:val="both"/>
              <w:rPr>
                <w:rFonts w:ascii="Arial" w:eastAsiaTheme="minorHAnsi" w:hAnsi="Arial" w:cs="Arial"/>
                <w:b/>
                <w:color w:val="000000"/>
                <w:szCs w:val="20"/>
                <w:u w:val="single"/>
                <w:lang w:eastAsia="en-US"/>
              </w:rPr>
            </w:pPr>
            <w:r w:rsidRPr="00C13A66">
              <w:rPr>
                <w:rFonts w:ascii="Arial" w:eastAsiaTheme="minorHAnsi" w:hAnsi="Arial" w:cs="Arial"/>
                <w:b/>
                <w:color w:val="000000"/>
                <w:szCs w:val="20"/>
                <w:u w:val="single"/>
                <w:lang w:eastAsia="en-US"/>
              </w:rPr>
              <w:t xml:space="preserve">Missions </w:t>
            </w:r>
            <w:r w:rsidR="00C13A66" w:rsidRPr="00C13A66">
              <w:rPr>
                <w:rFonts w:ascii="Arial" w:eastAsiaTheme="minorHAnsi" w:hAnsi="Arial" w:cs="Arial"/>
                <w:b/>
                <w:color w:val="000000"/>
                <w:szCs w:val="20"/>
                <w:u w:val="single"/>
                <w:lang w:eastAsia="en-US"/>
              </w:rPr>
              <w:t>détaillées</w:t>
            </w:r>
            <w:r w:rsidR="00C13A66">
              <w:rPr>
                <w:rFonts w:ascii="Arial" w:eastAsiaTheme="minorHAnsi" w:hAnsi="Arial" w:cs="Arial"/>
                <w:b/>
                <w:color w:val="000000"/>
                <w:szCs w:val="20"/>
                <w:u w:val="single"/>
                <w:lang w:eastAsia="en-US"/>
              </w:rPr>
              <w:t> :</w:t>
            </w:r>
          </w:p>
          <w:p w:rsidR="00BA06C4" w:rsidRPr="00C13A66" w:rsidRDefault="00BA06C4" w:rsidP="00B6288D">
            <w:pPr>
              <w:autoSpaceDE w:val="0"/>
              <w:autoSpaceDN w:val="0"/>
              <w:adjustRightInd w:val="0"/>
              <w:spacing w:before="120"/>
              <w:ind w:left="567"/>
              <w:rPr>
                <w:rFonts w:ascii="Calibri" w:hAnsi="Calibri" w:cs="Calibri"/>
                <w:color w:val="000000"/>
                <w:sz w:val="22"/>
              </w:rPr>
            </w:pPr>
            <w:r w:rsidRPr="00C13A66">
              <w:rPr>
                <w:rFonts w:ascii="Calibri" w:hAnsi="Calibri" w:cs="Calibri"/>
                <w:color w:val="000000"/>
                <w:sz w:val="22"/>
              </w:rPr>
              <w:t xml:space="preserve">Le directeur des ressources humaines assure les missions suivantes : </w:t>
            </w:r>
          </w:p>
          <w:p w:rsidR="00FD52B2" w:rsidRPr="00C13A66" w:rsidRDefault="00FD52B2" w:rsidP="00FD52B2">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Organisation et gestion quotidienne des ressources humaines dont</w:t>
            </w:r>
            <w:r w:rsidR="00140471">
              <w:rPr>
                <w:rFonts w:ascii="Calibri" w:hAnsi="Calibri" w:cs="Calibri"/>
                <w:color w:val="000000"/>
                <w:sz w:val="22"/>
              </w:rPr>
              <w:t xml:space="preserve"> la</w:t>
            </w:r>
            <w:r w:rsidRPr="00C13A66">
              <w:rPr>
                <w:rFonts w:ascii="Calibri" w:hAnsi="Calibri" w:cs="Calibri"/>
                <w:color w:val="000000"/>
                <w:sz w:val="22"/>
              </w:rPr>
              <w:t xml:space="preserve"> gestion des psychologues. </w:t>
            </w:r>
          </w:p>
          <w:p w:rsidR="00FD52B2" w:rsidRPr="00C13A66" w:rsidRDefault="00FD52B2"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Conduire le dialogue social et préparer les instances représentatives du personnel (CHSCT, CTE, CAP sur les deux établissements) ;</w:t>
            </w:r>
          </w:p>
          <w:p w:rsidR="00FD52B2" w:rsidRPr="00C13A66" w:rsidRDefault="00FD52B2"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Participation à la conférence </w:t>
            </w:r>
            <w:r w:rsidR="003F6C60">
              <w:rPr>
                <w:rFonts w:ascii="Calibri" w:hAnsi="Calibri" w:cs="Calibri"/>
                <w:color w:val="000000"/>
                <w:sz w:val="22"/>
              </w:rPr>
              <w:t>territoriale de dialogue social</w:t>
            </w:r>
            <w:r w:rsidRPr="00C13A66">
              <w:rPr>
                <w:rFonts w:ascii="Calibri" w:hAnsi="Calibri" w:cs="Calibri"/>
                <w:color w:val="000000"/>
                <w:sz w:val="22"/>
              </w:rPr>
              <w:t xml:space="preserve"> du GHT ;</w:t>
            </w:r>
          </w:p>
          <w:p w:rsidR="00FD52B2" w:rsidRPr="00C13A66" w:rsidRDefault="00FD52B2"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Respect des objectifs économiques et financiers : indicateurs, tableaux de bords, EPRD… ;</w:t>
            </w:r>
          </w:p>
          <w:p w:rsidR="00FD52B2" w:rsidRPr="00C13A66" w:rsidRDefault="00FD52B2"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Promouvoir la politique d’attractivité </w:t>
            </w:r>
            <w:r w:rsidR="008020A7">
              <w:rPr>
                <w:rFonts w:ascii="Calibri" w:hAnsi="Calibri" w:cs="Calibri"/>
                <w:color w:val="000000"/>
                <w:sz w:val="22"/>
              </w:rPr>
              <w:t xml:space="preserve">du </w:t>
            </w:r>
            <w:r w:rsidRPr="00C13A66">
              <w:rPr>
                <w:rFonts w:ascii="Calibri" w:hAnsi="Calibri" w:cs="Calibri"/>
                <w:color w:val="000000"/>
                <w:sz w:val="22"/>
              </w:rPr>
              <w:t xml:space="preserve">PM </w:t>
            </w:r>
            <w:r w:rsidR="008020A7">
              <w:rPr>
                <w:rFonts w:ascii="Calibri" w:hAnsi="Calibri" w:cs="Calibri"/>
                <w:color w:val="000000"/>
                <w:sz w:val="22"/>
              </w:rPr>
              <w:t xml:space="preserve">et du </w:t>
            </w:r>
            <w:r w:rsidRPr="00C13A66">
              <w:rPr>
                <w:rFonts w:ascii="Calibri" w:hAnsi="Calibri" w:cs="Calibri"/>
                <w:color w:val="000000"/>
                <w:sz w:val="22"/>
              </w:rPr>
              <w:t xml:space="preserve">PNM ;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Définir et conduire la politique de formation continue du personnel non médical et médical en relation avec les axes du projet d’établissement en matière de Développement personnel continu (DPC)</w:t>
            </w:r>
            <w:r w:rsidR="00FD52B2" w:rsidRPr="00C13A66">
              <w:rPr>
                <w:rFonts w:ascii="Calibri" w:hAnsi="Calibri" w:cs="Calibri"/>
                <w:color w:val="000000"/>
                <w:sz w:val="22"/>
              </w:rPr>
              <w:t> ;</w:t>
            </w:r>
          </w:p>
          <w:p w:rsidR="00BA06C4"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Concevoir et coordonner la mise en </w:t>
            </w:r>
            <w:r w:rsidR="00FD52B2" w:rsidRPr="00C13A66">
              <w:rPr>
                <w:rFonts w:ascii="Calibri" w:hAnsi="Calibri" w:cs="Calibri"/>
                <w:color w:val="000000"/>
                <w:sz w:val="22"/>
              </w:rPr>
              <w:t>œuvre</w:t>
            </w:r>
            <w:r w:rsidRPr="00C13A66">
              <w:rPr>
                <w:rFonts w:ascii="Calibri" w:hAnsi="Calibri" w:cs="Calibri"/>
                <w:color w:val="000000"/>
                <w:sz w:val="22"/>
              </w:rPr>
              <w:t xml:space="preserve"> du projet social de l’ensemble du personnel, médical comme non médical, de l’établissement en lien avec les organisations représentatives du personnel, la CME et en lien avec les objectifs de qualité de vie au travail fixé notamment dans la certification HAS</w:t>
            </w:r>
            <w:r w:rsidR="00DA5CD4">
              <w:rPr>
                <w:rFonts w:ascii="Calibri" w:hAnsi="Calibri" w:cs="Calibri"/>
                <w:color w:val="000000"/>
                <w:sz w:val="22"/>
              </w:rPr>
              <w:t xml:space="preserve"> et du projet social</w:t>
            </w:r>
            <w:r w:rsidR="00FD52B2" w:rsidRPr="00C13A66">
              <w:rPr>
                <w:rFonts w:ascii="Calibri" w:hAnsi="Calibri" w:cs="Calibri"/>
                <w:color w:val="000000"/>
                <w:sz w:val="22"/>
              </w:rPr>
              <w:t>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Développer les services facilitant la vie personnelle des professionnels médicaux comme non médicaux et assurer le pilotage de la politique d’action sociale</w:t>
            </w:r>
            <w:r w:rsidR="00FD52B2" w:rsidRPr="00C13A66">
              <w:rPr>
                <w:rFonts w:ascii="Calibri" w:hAnsi="Calibri" w:cs="Calibri"/>
                <w:color w:val="000000"/>
                <w:sz w:val="22"/>
              </w:rPr>
              <w:t xml:space="preserve"> dans le cadre des orientations du projet social</w:t>
            </w:r>
            <w:r w:rsidRPr="00C13A66">
              <w:rPr>
                <w:rFonts w:ascii="Calibri" w:hAnsi="Calibri" w:cs="Calibri"/>
                <w:color w:val="000000"/>
                <w:sz w:val="22"/>
              </w:rPr>
              <w:t xml:space="preserve">.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Définir et conduire pour l’ensemble du personnel, médical comme non médical, une politique d’amélioration des conditions de travail, de développement de la santé au travail et de prévention des risques professionnels (plan de prévention des risques priorisé et cellule des risques professionnels)</w:t>
            </w:r>
            <w:r w:rsidR="00FD52B2" w:rsidRPr="00C13A66">
              <w:rPr>
                <w:rFonts w:ascii="Calibri" w:hAnsi="Calibri" w:cs="Calibri"/>
                <w:color w:val="000000"/>
                <w:sz w:val="22"/>
              </w:rPr>
              <w:t xml:space="preserve"> en lien avec le conseiller en prévention des risques.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Actualiser le document unique d’évaluation des risques professionnels en lien avec la politique de qualité de l’établissement et assurer la mise en </w:t>
            </w:r>
            <w:r w:rsidR="00FD52B2" w:rsidRPr="00C13A66">
              <w:rPr>
                <w:rFonts w:ascii="Calibri" w:hAnsi="Calibri" w:cs="Calibri"/>
                <w:color w:val="000000"/>
                <w:sz w:val="22"/>
              </w:rPr>
              <w:t>œuvre</w:t>
            </w:r>
            <w:r w:rsidRPr="00C13A66">
              <w:rPr>
                <w:rFonts w:ascii="Calibri" w:hAnsi="Calibri" w:cs="Calibri"/>
                <w:color w:val="000000"/>
                <w:sz w:val="22"/>
              </w:rPr>
              <w:t xml:space="preserve"> des actions prioritaires y étant identifiées.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Concevoir et mettre en </w:t>
            </w:r>
            <w:r w:rsidR="00FD52B2" w:rsidRPr="00C13A66">
              <w:rPr>
                <w:rFonts w:ascii="Calibri" w:hAnsi="Calibri" w:cs="Calibri"/>
                <w:color w:val="000000"/>
                <w:sz w:val="22"/>
              </w:rPr>
              <w:t>œuvre</w:t>
            </w:r>
            <w:r w:rsidRPr="00C13A66">
              <w:rPr>
                <w:rFonts w:ascii="Calibri" w:hAnsi="Calibri" w:cs="Calibri"/>
                <w:color w:val="000000"/>
                <w:sz w:val="22"/>
              </w:rPr>
              <w:t xml:space="preserve"> une politique de maintien en poste, de retour à l’emploi et/ou de reconversion des personnes en absence longue, victimes d’accidents du travail et de maladies professionnelles, ou en situation de handicap. </w:t>
            </w:r>
          </w:p>
          <w:p w:rsidR="00BA06C4" w:rsidRPr="00C13A66"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Assurer le pilotage des actions relatives aux bénéficiaires de l’obligation d’emploi, dont les relations avec le FIPHFP. </w:t>
            </w:r>
          </w:p>
          <w:p w:rsidR="00BA06C4" w:rsidRDefault="00BA06C4" w:rsidP="00B6288D">
            <w:pPr>
              <w:pStyle w:val="Paragraphedeliste"/>
              <w:numPr>
                <w:ilvl w:val="0"/>
                <w:numId w:val="11"/>
              </w:numPr>
              <w:autoSpaceDE w:val="0"/>
              <w:autoSpaceDN w:val="0"/>
              <w:adjustRightInd w:val="0"/>
              <w:spacing w:before="80"/>
              <w:ind w:left="992" w:hanging="425"/>
              <w:contextualSpacing w:val="0"/>
              <w:jc w:val="both"/>
              <w:rPr>
                <w:rFonts w:ascii="Calibri" w:hAnsi="Calibri" w:cs="Calibri"/>
                <w:color w:val="000000"/>
                <w:sz w:val="22"/>
              </w:rPr>
            </w:pPr>
            <w:r w:rsidRPr="00C13A66">
              <w:rPr>
                <w:rFonts w:ascii="Calibri" w:hAnsi="Calibri" w:cs="Calibri"/>
                <w:color w:val="000000"/>
                <w:sz w:val="22"/>
              </w:rPr>
              <w:t xml:space="preserve">Définir et mettre en </w:t>
            </w:r>
            <w:r w:rsidR="00FD52B2" w:rsidRPr="00C13A66">
              <w:rPr>
                <w:rFonts w:ascii="Calibri" w:hAnsi="Calibri" w:cs="Calibri"/>
                <w:color w:val="000000"/>
                <w:sz w:val="22"/>
              </w:rPr>
              <w:t>œuvre</w:t>
            </w:r>
            <w:r w:rsidRPr="00C13A66">
              <w:rPr>
                <w:rFonts w:ascii="Calibri" w:hAnsi="Calibri" w:cs="Calibri"/>
                <w:color w:val="000000"/>
                <w:sz w:val="22"/>
              </w:rPr>
              <w:t xml:space="preserve"> une politique de valorisation des parcours professionnels des agents en fin de carrière (projet senior) </w:t>
            </w:r>
          </w:p>
          <w:p w:rsidR="00C630FA" w:rsidRPr="00663431" w:rsidRDefault="00C630FA" w:rsidP="00663431">
            <w:pPr>
              <w:autoSpaceDE w:val="0"/>
              <w:autoSpaceDN w:val="0"/>
              <w:adjustRightInd w:val="0"/>
              <w:spacing w:before="80"/>
              <w:ind w:left="567"/>
              <w:jc w:val="both"/>
              <w:rPr>
                <w:rFonts w:ascii="Calibri" w:hAnsi="Calibri" w:cs="Calibri"/>
                <w:color w:val="000000"/>
                <w:sz w:val="22"/>
              </w:rPr>
            </w:pPr>
            <w:bookmarkStart w:id="0" w:name="_GoBack"/>
            <w:bookmarkEnd w:id="0"/>
          </w:p>
          <w:p w:rsidR="00BA06C4" w:rsidRPr="00BA06C4" w:rsidRDefault="00BA06C4" w:rsidP="00C13A66">
            <w:pPr>
              <w:spacing w:before="120"/>
              <w:ind w:left="567"/>
              <w:jc w:val="both"/>
              <w:rPr>
                <w:rFonts w:ascii="Cambria" w:hAnsi="Cambria" w:cs="Cambria"/>
                <w:color w:val="000000"/>
                <w:sz w:val="26"/>
                <w:szCs w:val="26"/>
              </w:rPr>
            </w:pPr>
            <w:r w:rsidRPr="00C13A66">
              <w:rPr>
                <w:b/>
                <w:sz w:val="22"/>
              </w:rPr>
              <w:lastRenderedPageBreak/>
              <w:t>Nature des délégations associées au poste</w:t>
            </w:r>
          </w:p>
          <w:p w:rsidR="00B6288D" w:rsidRPr="00C13A66" w:rsidRDefault="00BA06C4" w:rsidP="00C13A66">
            <w:pPr>
              <w:autoSpaceDE w:val="0"/>
              <w:autoSpaceDN w:val="0"/>
              <w:adjustRightInd w:val="0"/>
              <w:spacing w:before="120"/>
              <w:ind w:left="567"/>
              <w:jc w:val="both"/>
              <w:rPr>
                <w:rFonts w:ascii="Calibri" w:hAnsi="Calibri" w:cs="Calibri"/>
                <w:color w:val="000000"/>
                <w:sz w:val="22"/>
              </w:rPr>
            </w:pPr>
            <w:r w:rsidRPr="00BA06C4">
              <w:rPr>
                <w:rFonts w:ascii="Calibri" w:hAnsi="Calibri" w:cs="Calibri"/>
                <w:color w:val="000000"/>
                <w:sz w:val="22"/>
              </w:rPr>
              <w:t xml:space="preserve">Une délégation de signature donne compétence au directeur des ressources humaines </w:t>
            </w:r>
            <w:r w:rsidR="00C13A66">
              <w:rPr>
                <w:rFonts w:ascii="Calibri" w:hAnsi="Calibri" w:cs="Calibri"/>
                <w:color w:val="000000"/>
                <w:sz w:val="22"/>
              </w:rPr>
              <w:t xml:space="preserve">et des affaires médicales </w:t>
            </w:r>
            <w:r w:rsidRPr="00BA06C4">
              <w:rPr>
                <w:rFonts w:ascii="Calibri" w:hAnsi="Calibri" w:cs="Calibri"/>
                <w:color w:val="000000"/>
                <w:sz w:val="22"/>
              </w:rPr>
              <w:t xml:space="preserve">pour les décisions relevant de ses attributions. Une délégation de gestion lui donne compétence sur </w:t>
            </w:r>
            <w:r w:rsidRPr="00B6288D">
              <w:rPr>
                <w:rFonts w:ascii="Calibri" w:hAnsi="Calibri" w:cs="Calibri"/>
                <w:color w:val="000000"/>
                <w:sz w:val="22"/>
              </w:rPr>
              <w:t>l’ensemble des champs</w:t>
            </w:r>
            <w:r w:rsidR="00C630FA">
              <w:rPr>
                <w:rFonts w:ascii="Calibri" w:hAnsi="Calibri" w:cs="Calibri"/>
                <w:color w:val="000000"/>
                <w:sz w:val="22"/>
              </w:rPr>
              <w:t xml:space="preserve"> en lien avec les</w:t>
            </w:r>
            <w:r w:rsidRPr="00B6288D">
              <w:rPr>
                <w:rFonts w:ascii="Calibri" w:hAnsi="Calibri" w:cs="Calibri"/>
                <w:color w:val="000000"/>
                <w:sz w:val="22"/>
              </w:rPr>
              <w:t xml:space="preserve"> ressources humaines</w:t>
            </w:r>
            <w:r w:rsidR="00C630FA">
              <w:rPr>
                <w:rFonts w:ascii="Calibri" w:hAnsi="Calibri" w:cs="Calibri"/>
                <w:color w:val="000000"/>
                <w:sz w:val="22"/>
              </w:rPr>
              <w:t xml:space="preserve"> médicales et non médicales</w:t>
            </w:r>
            <w:r w:rsidRPr="00B6288D">
              <w:rPr>
                <w:rFonts w:ascii="Calibri" w:hAnsi="Calibri" w:cs="Calibri"/>
                <w:color w:val="000000"/>
                <w:sz w:val="22"/>
              </w:rPr>
              <w:t>.</w:t>
            </w:r>
          </w:p>
          <w:p w:rsidR="0071709A" w:rsidRPr="00473339" w:rsidRDefault="0071709A" w:rsidP="00B6288D">
            <w:pPr>
              <w:rPr>
                <w:sz w:val="22"/>
              </w:rPr>
            </w:pPr>
          </w:p>
        </w:tc>
      </w:tr>
      <w:tr w:rsidR="00F61D09" w:rsidRPr="00473339" w:rsidTr="00473339">
        <w:tc>
          <w:tcPr>
            <w:tcW w:w="10630" w:type="dxa"/>
            <w:tcBorders>
              <w:left w:val="nil"/>
              <w:right w:val="nil"/>
            </w:tcBorders>
            <w:shd w:val="clear" w:color="auto" w:fill="auto"/>
          </w:tcPr>
          <w:p w:rsidR="00F61D09" w:rsidRPr="00B6288D" w:rsidRDefault="00D0308A" w:rsidP="00473339">
            <w:pPr>
              <w:jc w:val="center"/>
              <w:rPr>
                <w:b/>
                <w:sz w:val="24"/>
                <w:szCs w:val="24"/>
              </w:rPr>
            </w:pPr>
            <w:r w:rsidRPr="00B6288D">
              <w:rPr>
                <w:rFonts w:ascii="DIN-Bold" w:hAnsi="DIN-Bold"/>
                <w:b/>
                <w:sz w:val="24"/>
                <w:szCs w:val="24"/>
              </w:rPr>
              <w:lastRenderedPageBreak/>
              <w:t>Profil souhaité du candidat</w:t>
            </w:r>
          </w:p>
        </w:tc>
      </w:tr>
      <w:tr w:rsidR="00F61D09" w:rsidRPr="00473339" w:rsidTr="00473339">
        <w:tc>
          <w:tcPr>
            <w:tcW w:w="10630" w:type="dxa"/>
            <w:tcBorders>
              <w:bottom w:val="single" w:sz="4" w:space="0" w:color="auto"/>
            </w:tcBorders>
            <w:shd w:val="clear" w:color="auto" w:fill="auto"/>
          </w:tcPr>
          <w:p w:rsidR="00C13A66" w:rsidRPr="00971981" w:rsidRDefault="00971981" w:rsidP="00C13A66">
            <w:pPr>
              <w:tabs>
                <w:tab w:val="left" w:pos="567"/>
              </w:tabs>
              <w:autoSpaceDE w:val="0"/>
              <w:autoSpaceDN w:val="0"/>
              <w:adjustRightInd w:val="0"/>
              <w:spacing w:before="480" w:after="78"/>
              <w:ind w:left="567"/>
              <w:rPr>
                <w:rFonts w:ascii="Arial" w:eastAsiaTheme="minorHAnsi" w:hAnsi="Arial" w:cs="Arial"/>
                <w:color w:val="000000"/>
                <w:szCs w:val="20"/>
                <w:u w:val="single"/>
                <w:lang w:eastAsia="en-US"/>
              </w:rPr>
            </w:pPr>
            <w:r w:rsidRPr="00971981">
              <w:rPr>
                <w:rFonts w:ascii="Arial" w:eastAsiaTheme="minorHAnsi" w:hAnsi="Arial" w:cs="Arial"/>
                <w:color w:val="000000"/>
                <w:szCs w:val="20"/>
                <w:u w:val="single"/>
                <w:lang w:eastAsia="en-US"/>
              </w:rPr>
              <w:t>Connaissances</w:t>
            </w:r>
            <w:r w:rsidR="00D42F92">
              <w:rPr>
                <w:rFonts w:ascii="Arial" w:eastAsiaTheme="minorHAnsi" w:hAnsi="Arial" w:cs="Arial"/>
                <w:color w:val="000000"/>
                <w:szCs w:val="20"/>
                <w:u w:val="single"/>
                <w:lang w:eastAsia="en-US"/>
              </w:rPr>
              <w:t xml:space="preserve"> requises</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 du statut de la fonction publique hospitalière et de la gestion statutaire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 des statuts des personnels médicaux </w:t>
            </w:r>
            <w:r w:rsidR="00C13A66">
              <w:rPr>
                <w:rFonts w:ascii="Calibri" w:hAnsi="Calibri" w:cs="Calibri"/>
                <w:color w:val="000000"/>
                <w:sz w:val="22"/>
              </w:rPr>
              <w:t>et non médicaux</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Connaissances en gestion des ressources humaines </w:t>
            </w:r>
            <w:r w:rsidR="00C13A66">
              <w:rPr>
                <w:rFonts w:ascii="Calibri" w:hAnsi="Calibri" w:cs="Calibri"/>
                <w:color w:val="000000"/>
                <w:sz w:val="22"/>
              </w:rPr>
              <w:t>médicale et non médicale</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 de la règlementation applicable aux établissements publics de santé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 de l’institution, de ses acteurs et de son environnement </w:t>
            </w:r>
          </w:p>
          <w:p w:rsidR="00BA06C4" w:rsidRPr="00D42F92" w:rsidRDefault="00BA06C4" w:rsidP="00B6288D">
            <w:pPr>
              <w:pStyle w:val="Paragraphedeliste"/>
              <w:numPr>
                <w:ilvl w:val="0"/>
                <w:numId w:val="11"/>
              </w:numPr>
              <w:autoSpaceDE w:val="0"/>
              <w:autoSpaceDN w:val="0"/>
              <w:adjustRightInd w:val="0"/>
              <w:spacing w:after="30"/>
              <w:ind w:right="-76"/>
              <w:rPr>
                <w:rFonts w:ascii="Calibri" w:hAnsi="Calibri" w:cs="Calibri"/>
                <w:color w:val="000000"/>
                <w:sz w:val="22"/>
              </w:rPr>
            </w:pPr>
            <w:r w:rsidRPr="00D42F92">
              <w:rPr>
                <w:rFonts w:ascii="Calibri" w:hAnsi="Calibri" w:cs="Calibri"/>
                <w:color w:val="000000"/>
                <w:sz w:val="22"/>
              </w:rPr>
              <w:t xml:space="preserve">Connaissances des mécanismes budgétaires et financiers applicables aux établissements publics de santé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Connaissances en gestion de projet et en conduite du changement </w:t>
            </w:r>
          </w:p>
          <w:p w:rsidR="00971981" w:rsidRPr="00971981" w:rsidRDefault="00971981" w:rsidP="00971981">
            <w:pPr>
              <w:tabs>
                <w:tab w:val="left" w:pos="567"/>
              </w:tabs>
              <w:autoSpaceDE w:val="0"/>
              <w:autoSpaceDN w:val="0"/>
              <w:adjustRightInd w:val="0"/>
              <w:spacing w:before="480" w:after="78"/>
              <w:ind w:left="567"/>
              <w:rPr>
                <w:rFonts w:ascii="Arial" w:eastAsiaTheme="minorHAnsi" w:hAnsi="Arial" w:cs="Arial"/>
                <w:color w:val="000000"/>
                <w:szCs w:val="20"/>
                <w:u w:val="single"/>
                <w:lang w:eastAsia="en-US"/>
              </w:rPr>
            </w:pPr>
            <w:r w:rsidRPr="00971981">
              <w:rPr>
                <w:rFonts w:ascii="Arial" w:eastAsiaTheme="minorHAnsi" w:hAnsi="Arial" w:cs="Arial"/>
                <w:color w:val="000000"/>
                <w:szCs w:val="20"/>
                <w:u w:val="single"/>
                <w:lang w:eastAsia="en-US"/>
              </w:rPr>
              <w:t>Compétences</w:t>
            </w:r>
            <w:r w:rsidR="00BA06C4">
              <w:rPr>
                <w:rFonts w:ascii="Arial" w:eastAsiaTheme="minorHAnsi" w:hAnsi="Arial" w:cs="Arial"/>
                <w:color w:val="000000"/>
                <w:szCs w:val="20"/>
                <w:u w:val="single"/>
                <w:lang w:eastAsia="en-US"/>
              </w:rPr>
              <w:t xml:space="preserve"> professionnelles requises</w:t>
            </w:r>
          </w:p>
          <w:p w:rsidR="00BA06C4" w:rsidRPr="00BA06C4"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BA06C4">
              <w:rPr>
                <w:rFonts w:ascii="Calibri" w:hAnsi="Calibri" w:cs="Calibri"/>
                <w:color w:val="000000"/>
                <w:sz w:val="22"/>
              </w:rPr>
              <w:t xml:space="preserve">Evaluer la charge de travail, organiser les secteurs </w:t>
            </w:r>
          </w:p>
          <w:p w:rsidR="00BA06C4" w:rsidRPr="00BA06C4"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BA06C4">
              <w:rPr>
                <w:rFonts w:ascii="Calibri" w:hAnsi="Calibri" w:cs="Calibri"/>
                <w:color w:val="000000"/>
                <w:sz w:val="22"/>
              </w:rPr>
              <w:t xml:space="preserve">Maitriser les outils bureautiques </w:t>
            </w:r>
          </w:p>
          <w:p w:rsidR="00BA06C4" w:rsidRPr="00BA06C4"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BA06C4">
              <w:rPr>
                <w:rFonts w:ascii="Calibri" w:hAnsi="Calibri" w:cs="Calibri"/>
                <w:color w:val="000000"/>
                <w:sz w:val="22"/>
              </w:rPr>
              <w:t xml:space="preserve">Traiter les informations règlementaires, statutaires, institutionnelles et budgétaires </w:t>
            </w:r>
          </w:p>
          <w:p w:rsidR="00971981" w:rsidRPr="00971981" w:rsidRDefault="00BA06C4" w:rsidP="00971981">
            <w:pPr>
              <w:tabs>
                <w:tab w:val="left" w:pos="567"/>
              </w:tabs>
              <w:autoSpaceDE w:val="0"/>
              <w:autoSpaceDN w:val="0"/>
              <w:adjustRightInd w:val="0"/>
              <w:spacing w:before="480" w:after="78"/>
              <w:ind w:left="567"/>
              <w:rPr>
                <w:rFonts w:ascii="Arial" w:eastAsiaTheme="minorHAnsi" w:hAnsi="Arial" w:cs="Arial"/>
                <w:color w:val="000000"/>
                <w:szCs w:val="20"/>
                <w:u w:val="single"/>
                <w:lang w:eastAsia="en-US"/>
              </w:rPr>
            </w:pPr>
            <w:r>
              <w:rPr>
                <w:rFonts w:ascii="Arial" w:eastAsiaTheme="minorHAnsi" w:hAnsi="Arial" w:cs="Arial"/>
                <w:color w:val="000000"/>
                <w:szCs w:val="20"/>
                <w:u w:val="single"/>
                <w:lang w:eastAsia="en-US"/>
              </w:rPr>
              <w:t>Savoir-faire et savoir-être</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Capacité à travailler en équipe et en réseau avec les multiples partenaires internes et externes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Capacité d’analyse, de rigueur, et de synthèse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Qualités d’écoute et de communication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Aptitude à la concertation et à la négociation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Aptitudes pédagogiques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Sens de l’organisation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Aptitude à la conduite de projets et à mobiliser une équipe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Capacité à prendre des décisions, à les expliquer et à les valoriser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Capacité à faire monter en compétences une équipe </w:t>
            </w:r>
          </w:p>
          <w:p w:rsidR="00BA06C4" w:rsidRPr="00D42F92" w:rsidRDefault="00BA06C4" w:rsidP="00D42F92">
            <w:pPr>
              <w:pStyle w:val="Paragraphedeliste"/>
              <w:numPr>
                <w:ilvl w:val="0"/>
                <w:numId w:val="11"/>
              </w:numPr>
              <w:autoSpaceDE w:val="0"/>
              <w:autoSpaceDN w:val="0"/>
              <w:adjustRightInd w:val="0"/>
              <w:spacing w:after="30"/>
              <w:rPr>
                <w:rFonts w:ascii="Calibri" w:hAnsi="Calibri" w:cs="Calibri"/>
                <w:color w:val="000000"/>
                <w:sz w:val="22"/>
              </w:rPr>
            </w:pPr>
            <w:r w:rsidRPr="00D42F92">
              <w:rPr>
                <w:rFonts w:ascii="Calibri" w:hAnsi="Calibri" w:cs="Calibri"/>
                <w:color w:val="000000"/>
                <w:sz w:val="22"/>
              </w:rPr>
              <w:t xml:space="preserve">Compétences rédactionnelles </w:t>
            </w:r>
          </w:p>
          <w:p w:rsidR="0075650B" w:rsidRPr="00473339" w:rsidRDefault="0075650B">
            <w:pPr>
              <w:rPr>
                <w:sz w:val="22"/>
              </w:rPr>
            </w:pPr>
          </w:p>
          <w:p w:rsidR="0075650B" w:rsidRPr="00473339" w:rsidRDefault="0075650B" w:rsidP="00BA06C4">
            <w:pPr>
              <w:rPr>
                <w:sz w:val="22"/>
              </w:rPr>
            </w:pPr>
          </w:p>
        </w:tc>
      </w:tr>
      <w:tr w:rsidR="00F61D09" w:rsidRPr="00473339" w:rsidTr="00473339">
        <w:tc>
          <w:tcPr>
            <w:tcW w:w="10630" w:type="dxa"/>
            <w:tcBorders>
              <w:left w:val="nil"/>
              <w:right w:val="nil"/>
            </w:tcBorders>
            <w:shd w:val="clear" w:color="auto" w:fill="auto"/>
          </w:tcPr>
          <w:p w:rsidR="00F61D09" w:rsidRPr="00473339" w:rsidRDefault="00F61D09">
            <w:pPr>
              <w:rPr>
                <w:sz w:val="22"/>
              </w:rPr>
            </w:pPr>
          </w:p>
        </w:tc>
      </w:tr>
      <w:tr w:rsidR="00F61D09" w:rsidRPr="00473339" w:rsidTr="00473339">
        <w:tc>
          <w:tcPr>
            <w:tcW w:w="10630" w:type="dxa"/>
            <w:shd w:val="clear" w:color="auto" w:fill="auto"/>
            <w:vAlign w:val="center"/>
          </w:tcPr>
          <w:p w:rsidR="00F61D09" w:rsidRPr="00B6288D" w:rsidRDefault="0075650B" w:rsidP="00473339">
            <w:pPr>
              <w:jc w:val="center"/>
              <w:rPr>
                <w:b/>
                <w:sz w:val="22"/>
              </w:rPr>
            </w:pPr>
            <w:r w:rsidRPr="00B6288D">
              <w:rPr>
                <w:rFonts w:ascii="DIN-Bold" w:hAnsi="DIN-Bold"/>
                <w:b/>
                <w:sz w:val="24"/>
                <w:szCs w:val="24"/>
              </w:rPr>
              <w:t>Autres</w:t>
            </w:r>
            <w:r w:rsidR="00D0308A" w:rsidRPr="00B6288D">
              <w:rPr>
                <w:rFonts w:ascii="DIN-Bold" w:hAnsi="DIN-Bold"/>
                <w:b/>
                <w:sz w:val="24"/>
                <w:szCs w:val="24"/>
              </w:rPr>
              <w:t xml:space="preserve"> informations</w:t>
            </w:r>
          </w:p>
        </w:tc>
      </w:tr>
      <w:tr w:rsidR="00F61D09" w:rsidRPr="00473339" w:rsidTr="00473339">
        <w:tc>
          <w:tcPr>
            <w:tcW w:w="10630" w:type="dxa"/>
            <w:shd w:val="clear" w:color="auto" w:fill="auto"/>
          </w:tcPr>
          <w:p w:rsidR="00F61D09" w:rsidRPr="00C13A66" w:rsidRDefault="0075650B">
            <w:pPr>
              <w:rPr>
                <w:b/>
                <w:sz w:val="22"/>
              </w:rPr>
            </w:pPr>
            <w:r w:rsidRPr="00C13A66">
              <w:rPr>
                <w:b/>
                <w:sz w:val="22"/>
              </w:rPr>
              <w:t>Contraintes et avantages liés au poste :</w:t>
            </w:r>
          </w:p>
          <w:p w:rsidR="00737A47" w:rsidRPr="00737A47" w:rsidRDefault="00737A47" w:rsidP="00737A47">
            <w:pPr>
              <w:pStyle w:val="Paragraphedeliste"/>
              <w:numPr>
                <w:ilvl w:val="0"/>
                <w:numId w:val="5"/>
              </w:numPr>
              <w:autoSpaceDE w:val="0"/>
              <w:autoSpaceDN w:val="0"/>
              <w:adjustRightInd w:val="0"/>
              <w:spacing w:before="240" w:after="78"/>
              <w:ind w:hanging="436"/>
              <w:rPr>
                <w:rFonts w:ascii="Arial" w:eastAsiaTheme="minorHAnsi" w:hAnsi="Arial" w:cs="Arial"/>
                <w:color w:val="000000"/>
                <w:szCs w:val="20"/>
                <w:lang w:eastAsia="en-US"/>
              </w:rPr>
            </w:pPr>
            <w:r w:rsidRPr="00737A47">
              <w:rPr>
                <w:rFonts w:ascii="Arial" w:eastAsiaTheme="minorHAnsi" w:hAnsi="Arial" w:cs="Arial"/>
                <w:color w:val="000000"/>
                <w:szCs w:val="20"/>
                <w:lang w:eastAsia="en-US"/>
              </w:rPr>
              <w:t>Participation aux astreintes de direction</w:t>
            </w:r>
            <w:r w:rsidR="00FD52B2">
              <w:rPr>
                <w:rFonts w:ascii="Arial" w:eastAsiaTheme="minorHAnsi" w:hAnsi="Arial" w:cs="Arial"/>
                <w:color w:val="000000"/>
                <w:szCs w:val="20"/>
                <w:lang w:eastAsia="en-US"/>
              </w:rPr>
              <w:t xml:space="preserve"> la semaine</w:t>
            </w:r>
            <w:r w:rsidRPr="00737A47">
              <w:rPr>
                <w:rFonts w:ascii="Arial" w:eastAsiaTheme="minorHAnsi" w:hAnsi="Arial" w:cs="Arial"/>
                <w:color w:val="000000"/>
                <w:szCs w:val="20"/>
                <w:lang w:eastAsia="en-US"/>
              </w:rPr>
              <w:t>.</w:t>
            </w:r>
          </w:p>
          <w:p w:rsidR="00971981" w:rsidRPr="008C69BC" w:rsidRDefault="00971981" w:rsidP="00C13A66">
            <w:pPr>
              <w:pStyle w:val="Paragraphedeliste"/>
              <w:numPr>
                <w:ilvl w:val="0"/>
                <w:numId w:val="5"/>
              </w:numPr>
              <w:autoSpaceDE w:val="0"/>
              <w:autoSpaceDN w:val="0"/>
              <w:adjustRightInd w:val="0"/>
              <w:spacing w:before="240" w:after="78"/>
              <w:ind w:left="1276" w:hanging="425"/>
              <w:contextualSpacing w:val="0"/>
              <w:rPr>
                <w:rFonts w:ascii="Arial" w:eastAsiaTheme="minorHAnsi" w:hAnsi="Arial" w:cs="Arial"/>
                <w:color w:val="000000"/>
                <w:szCs w:val="20"/>
                <w:lang w:eastAsia="en-US"/>
              </w:rPr>
            </w:pPr>
            <w:r w:rsidRPr="00737A47">
              <w:rPr>
                <w:rFonts w:ascii="Arial" w:eastAsiaTheme="minorHAnsi" w:hAnsi="Arial" w:cs="Arial"/>
                <w:b/>
                <w:bCs/>
                <w:color w:val="000000"/>
                <w:szCs w:val="20"/>
                <w:u w:val="single"/>
                <w:lang w:eastAsia="en-US"/>
              </w:rPr>
              <w:t>Logement de fonction</w:t>
            </w:r>
            <w:r w:rsidR="00C13A66">
              <w:rPr>
                <w:rFonts w:ascii="Arial" w:eastAsiaTheme="minorHAnsi" w:hAnsi="Arial" w:cs="Arial"/>
                <w:b/>
                <w:bCs/>
                <w:color w:val="000000"/>
                <w:szCs w:val="20"/>
                <w:lang w:eastAsia="en-US"/>
              </w:rPr>
              <w:t xml:space="preserve"> : </w:t>
            </w:r>
            <w:r w:rsidR="00C13A66" w:rsidRPr="00C13A66">
              <w:rPr>
                <w:rFonts w:ascii="Arial" w:eastAsiaTheme="minorHAnsi" w:hAnsi="Arial" w:cs="Arial"/>
                <w:bCs/>
                <w:color w:val="000000"/>
                <w:szCs w:val="20"/>
                <w:lang w:eastAsia="en-US"/>
              </w:rPr>
              <w:t>Maison spacieuse sur site</w:t>
            </w:r>
          </w:p>
          <w:p w:rsidR="0075650B" w:rsidRPr="008C69BC" w:rsidRDefault="008C69BC" w:rsidP="008C69BC">
            <w:pPr>
              <w:pStyle w:val="Paragraphedeliste"/>
              <w:numPr>
                <w:ilvl w:val="0"/>
                <w:numId w:val="5"/>
              </w:numPr>
              <w:autoSpaceDE w:val="0"/>
              <w:autoSpaceDN w:val="0"/>
              <w:adjustRightInd w:val="0"/>
              <w:spacing w:before="240" w:after="78"/>
              <w:ind w:left="1276" w:hanging="425"/>
              <w:contextualSpacing w:val="0"/>
              <w:rPr>
                <w:rFonts w:ascii="Arial" w:eastAsiaTheme="minorHAnsi" w:hAnsi="Arial" w:cs="Arial"/>
                <w:color w:val="000000"/>
                <w:szCs w:val="20"/>
                <w:lang w:eastAsia="en-US"/>
              </w:rPr>
            </w:pPr>
            <w:r>
              <w:rPr>
                <w:rFonts w:ascii="Arial" w:eastAsiaTheme="minorHAnsi" w:hAnsi="Arial" w:cs="Arial"/>
                <w:b/>
                <w:bCs/>
                <w:color w:val="000000"/>
                <w:szCs w:val="20"/>
                <w:u w:val="single"/>
                <w:lang w:eastAsia="en-US"/>
              </w:rPr>
              <w:t>Prime de direction commune</w:t>
            </w:r>
          </w:p>
          <w:p w:rsidR="0075650B" w:rsidRPr="00473339" w:rsidRDefault="0075650B">
            <w:pPr>
              <w:rPr>
                <w:sz w:val="22"/>
              </w:rPr>
            </w:pPr>
          </w:p>
        </w:tc>
      </w:tr>
    </w:tbl>
    <w:p w:rsidR="007541A4" w:rsidRPr="00F61D09" w:rsidRDefault="007541A4">
      <w:pPr>
        <w:rPr>
          <w:sz w:val="22"/>
        </w:rPr>
      </w:pPr>
    </w:p>
    <w:sectPr w:rsidR="007541A4" w:rsidRPr="00F61D09" w:rsidSect="00B26BFD">
      <w:headerReference w:type="default" r:id="rId7"/>
      <w:pgSz w:w="11906" w:h="16838"/>
      <w:pgMar w:top="851" w:right="707" w:bottom="709" w:left="709"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A5" w:rsidRDefault="00FB3FA5">
      <w:r>
        <w:separator/>
      </w:r>
    </w:p>
  </w:endnote>
  <w:endnote w:type="continuationSeparator" w:id="1">
    <w:p w:rsidR="00FB3FA5" w:rsidRDefault="00FB3F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Bold">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A5" w:rsidRDefault="00FB3FA5">
      <w:r>
        <w:separator/>
      </w:r>
    </w:p>
  </w:footnote>
  <w:footnote w:type="continuationSeparator" w:id="1">
    <w:p w:rsidR="00FB3FA5" w:rsidRDefault="00FB3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B0" w:rsidRPr="00F61D09" w:rsidRDefault="00E166B0" w:rsidP="005A65E4">
    <w:pPr>
      <w:pStyle w:val="En-tte"/>
      <w:tabs>
        <w:tab w:val="clear" w:pos="4536"/>
        <w:tab w:val="center" w:pos="5387"/>
      </w:tabs>
      <w:rPr>
        <w:color w:val="333333"/>
        <w:sz w:val="16"/>
        <w:szCs w:val="16"/>
      </w:rPr>
    </w:pPr>
    <w:r>
      <w:rPr>
        <w:color w:val="333333"/>
        <w:sz w:val="16"/>
        <w:szCs w:val="16"/>
      </w:rPr>
      <w:tab/>
    </w:r>
    <w:r>
      <w:rPr>
        <w:color w:val="333333"/>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4B"/>
      </v:shape>
    </w:pict>
  </w:numPicBullet>
  <w:abstractNum w:abstractNumId="0">
    <w:nsid w:val="0E18618B"/>
    <w:multiLevelType w:val="hybridMultilevel"/>
    <w:tmpl w:val="F70669FC"/>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
    <w:nsid w:val="1FE84CAF"/>
    <w:multiLevelType w:val="hybridMultilevel"/>
    <w:tmpl w:val="ADB6C9A8"/>
    <w:lvl w:ilvl="0" w:tplc="040C0005">
      <w:start w:val="1"/>
      <w:numFmt w:val="bullet"/>
      <w:lvlText w:val=""/>
      <w:lvlJc w:val="left"/>
      <w:pPr>
        <w:ind w:left="1287" w:hanging="360"/>
      </w:pPr>
      <w:rPr>
        <w:rFonts w:ascii="Wingdings" w:hAnsi="Wingdings" w:hint="default"/>
      </w:rPr>
    </w:lvl>
    <w:lvl w:ilvl="1" w:tplc="B5C273A0">
      <w:numFmt w:val="bullet"/>
      <w:lvlText w:val=""/>
      <w:lvlJc w:val="left"/>
      <w:pPr>
        <w:ind w:left="2007" w:hanging="360"/>
      </w:pPr>
      <w:rPr>
        <w:rFonts w:ascii="Calibri" w:eastAsia="Times New Roman" w:hAnsi="Calibri" w:cs="Calibr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3913C17"/>
    <w:multiLevelType w:val="hybridMultilevel"/>
    <w:tmpl w:val="55AAF6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C14CFF"/>
    <w:multiLevelType w:val="hybridMultilevel"/>
    <w:tmpl w:val="405A1224"/>
    <w:lvl w:ilvl="0" w:tplc="CAC2F636">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383A50A3"/>
    <w:multiLevelType w:val="hybridMultilevel"/>
    <w:tmpl w:val="7CB4681C"/>
    <w:lvl w:ilvl="0" w:tplc="F2C07A8A">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93574F5"/>
    <w:multiLevelType w:val="hybridMultilevel"/>
    <w:tmpl w:val="724AFAB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704919"/>
    <w:multiLevelType w:val="hybridMultilevel"/>
    <w:tmpl w:val="44FA8E5E"/>
    <w:lvl w:ilvl="0" w:tplc="13761E72">
      <w:start w:val="13"/>
      <w:numFmt w:val="bullet"/>
      <w:lvlText w:val="-"/>
      <w:lvlJc w:val="left"/>
      <w:pPr>
        <w:ind w:left="927" w:hanging="360"/>
      </w:pPr>
      <w:rPr>
        <w:rFonts w:ascii="Calibri" w:eastAsia="Times New Roman" w:hAnsi="Calibri" w:cs="Calibri" w:hint="default"/>
        <w:b/>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4ED3368B"/>
    <w:multiLevelType w:val="hybridMultilevel"/>
    <w:tmpl w:val="7B807C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A9584B"/>
    <w:multiLevelType w:val="hybridMultilevel"/>
    <w:tmpl w:val="7FD237A8"/>
    <w:lvl w:ilvl="0" w:tplc="040C0005">
      <w:start w:val="1"/>
      <w:numFmt w:val="bullet"/>
      <w:lvlText w:val=""/>
      <w:lvlJc w:val="left"/>
      <w:pPr>
        <w:ind w:left="1287" w:hanging="360"/>
      </w:pPr>
      <w:rPr>
        <w:rFonts w:ascii="Wingdings" w:hAnsi="Wingdings" w:hint="default"/>
      </w:rPr>
    </w:lvl>
    <w:lvl w:ilvl="1" w:tplc="040C0005">
      <w:start w:val="1"/>
      <w:numFmt w:val="bullet"/>
      <w:lvlText w:val=""/>
      <w:lvlJc w:val="left"/>
      <w:pPr>
        <w:ind w:left="2007" w:hanging="360"/>
      </w:pPr>
      <w:rPr>
        <w:rFonts w:ascii="Wingdings" w:hAnsi="Wingdings"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57A46F2F"/>
    <w:multiLevelType w:val="hybridMultilevel"/>
    <w:tmpl w:val="5730325A"/>
    <w:lvl w:ilvl="0" w:tplc="040C0005">
      <w:start w:val="1"/>
      <w:numFmt w:val="bullet"/>
      <w:lvlText w:val=""/>
      <w:lvlJc w:val="left"/>
      <w:pPr>
        <w:ind w:left="10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432F4C"/>
    <w:multiLevelType w:val="hybridMultilevel"/>
    <w:tmpl w:val="8CB6CC94"/>
    <w:lvl w:ilvl="0" w:tplc="6F8230AC">
      <w:start w:val="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659A1053"/>
    <w:multiLevelType w:val="hybridMultilevel"/>
    <w:tmpl w:val="F41C85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12B49A4"/>
    <w:multiLevelType w:val="hybridMultilevel"/>
    <w:tmpl w:val="CCBE1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2"/>
  </w:num>
  <w:num w:numId="5">
    <w:abstractNumId w:val="10"/>
  </w:num>
  <w:num w:numId="6">
    <w:abstractNumId w:val="0"/>
  </w:num>
  <w:num w:numId="7">
    <w:abstractNumId w:val="1"/>
  </w:num>
  <w:num w:numId="8">
    <w:abstractNumId w:val="3"/>
  </w:num>
  <w:num w:numId="9">
    <w:abstractNumId w:val="8"/>
  </w:num>
  <w:num w:numId="10">
    <w:abstractNumId w:val="7"/>
  </w:num>
  <w:num w:numId="11">
    <w:abstractNumId w:val="9"/>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F61D09"/>
    <w:rsid w:val="000075BB"/>
    <w:rsid w:val="00026F88"/>
    <w:rsid w:val="0007040B"/>
    <w:rsid w:val="00080986"/>
    <w:rsid w:val="000D15E2"/>
    <w:rsid w:val="000F0A0A"/>
    <w:rsid w:val="00101BD9"/>
    <w:rsid w:val="00140471"/>
    <w:rsid w:val="0015263E"/>
    <w:rsid w:val="00161656"/>
    <w:rsid w:val="001C210B"/>
    <w:rsid w:val="001F70FB"/>
    <w:rsid w:val="00260B4B"/>
    <w:rsid w:val="00274081"/>
    <w:rsid w:val="00364176"/>
    <w:rsid w:val="003E711E"/>
    <w:rsid w:val="003F4BDD"/>
    <w:rsid w:val="003F6C60"/>
    <w:rsid w:val="004265E8"/>
    <w:rsid w:val="00473339"/>
    <w:rsid w:val="00493C63"/>
    <w:rsid w:val="004B2571"/>
    <w:rsid w:val="00506CE6"/>
    <w:rsid w:val="00512368"/>
    <w:rsid w:val="0054164B"/>
    <w:rsid w:val="005A65E4"/>
    <w:rsid w:val="0065044D"/>
    <w:rsid w:val="00663431"/>
    <w:rsid w:val="0071709A"/>
    <w:rsid w:val="00737A47"/>
    <w:rsid w:val="007541A4"/>
    <w:rsid w:val="0075650B"/>
    <w:rsid w:val="007C2AD9"/>
    <w:rsid w:val="007D7AC2"/>
    <w:rsid w:val="008020A7"/>
    <w:rsid w:val="00896A7D"/>
    <w:rsid w:val="008A23BE"/>
    <w:rsid w:val="008B4BBE"/>
    <w:rsid w:val="008C69BC"/>
    <w:rsid w:val="008E50FE"/>
    <w:rsid w:val="00971981"/>
    <w:rsid w:val="00975598"/>
    <w:rsid w:val="00A0186F"/>
    <w:rsid w:val="00A10D96"/>
    <w:rsid w:val="00A12E71"/>
    <w:rsid w:val="00A364C1"/>
    <w:rsid w:val="00A70F2F"/>
    <w:rsid w:val="00A93D90"/>
    <w:rsid w:val="00B26BFD"/>
    <w:rsid w:val="00B337BB"/>
    <w:rsid w:val="00B6288D"/>
    <w:rsid w:val="00B65B97"/>
    <w:rsid w:val="00BA06C4"/>
    <w:rsid w:val="00BD7DB6"/>
    <w:rsid w:val="00C13A66"/>
    <w:rsid w:val="00C55C16"/>
    <w:rsid w:val="00C630FA"/>
    <w:rsid w:val="00C8755F"/>
    <w:rsid w:val="00C91AD3"/>
    <w:rsid w:val="00CA4BE8"/>
    <w:rsid w:val="00CC7C8D"/>
    <w:rsid w:val="00D0084E"/>
    <w:rsid w:val="00D0308A"/>
    <w:rsid w:val="00D322F2"/>
    <w:rsid w:val="00D35747"/>
    <w:rsid w:val="00D40D77"/>
    <w:rsid w:val="00D42F92"/>
    <w:rsid w:val="00DA42C1"/>
    <w:rsid w:val="00DA5CD4"/>
    <w:rsid w:val="00DB2E73"/>
    <w:rsid w:val="00DB42E0"/>
    <w:rsid w:val="00E166B0"/>
    <w:rsid w:val="00F064C1"/>
    <w:rsid w:val="00F61D09"/>
    <w:rsid w:val="00FB3FA5"/>
    <w:rsid w:val="00FD467D"/>
    <w:rsid w:val="00FD52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E73"/>
    <w:rPr>
      <w:rFonts w:ascii="DIN-Regular" w:hAnsi="DIN-Regula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1D09"/>
    <w:pPr>
      <w:tabs>
        <w:tab w:val="center" w:pos="4536"/>
        <w:tab w:val="right" w:pos="9072"/>
      </w:tabs>
    </w:pPr>
  </w:style>
  <w:style w:type="paragraph" w:styleId="Pieddepage">
    <w:name w:val="footer"/>
    <w:basedOn w:val="Normal"/>
    <w:rsid w:val="00F61D09"/>
    <w:pPr>
      <w:tabs>
        <w:tab w:val="center" w:pos="4536"/>
        <w:tab w:val="right" w:pos="9072"/>
      </w:tabs>
    </w:pPr>
  </w:style>
  <w:style w:type="table" w:styleId="Grilledutableau">
    <w:name w:val="Table Grid"/>
    <w:basedOn w:val="TableauNormal"/>
    <w:rsid w:val="00F61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084E"/>
    <w:rPr>
      <w:rFonts w:ascii="Tahoma" w:hAnsi="Tahoma" w:cs="Tahoma"/>
      <w:sz w:val="16"/>
      <w:szCs w:val="16"/>
    </w:rPr>
  </w:style>
  <w:style w:type="paragraph" w:customStyle="1" w:styleId="Default">
    <w:name w:val="Default"/>
    <w:rsid w:val="00971981"/>
    <w:pPr>
      <w:autoSpaceDE w:val="0"/>
      <w:autoSpaceDN w:val="0"/>
      <w:adjustRightInd w:val="0"/>
    </w:pPr>
    <w:rPr>
      <w:rFonts w:ascii="Calibri" w:eastAsiaTheme="minorHAnsi" w:hAnsi="Calibri" w:cs="Calibri"/>
      <w:color w:val="000000"/>
      <w:sz w:val="24"/>
      <w:szCs w:val="24"/>
      <w:lang w:eastAsia="en-US"/>
    </w:rPr>
  </w:style>
  <w:style w:type="paragraph" w:styleId="Paragraphedeliste">
    <w:name w:val="List Paragraph"/>
    <w:basedOn w:val="Normal"/>
    <w:uiPriority w:val="34"/>
    <w:qFormat/>
    <w:rsid w:val="00737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DIN-Regular" w:hAnsi="DIN-Regula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1D09"/>
    <w:pPr>
      <w:tabs>
        <w:tab w:val="center" w:pos="4536"/>
        <w:tab w:val="right" w:pos="9072"/>
      </w:tabs>
    </w:pPr>
  </w:style>
  <w:style w:type="paragraph" w:styleId="Pieddepage">
    <w:name w:val="footer"/>
    <w:basedOn w:val="Normal"/>
    <w:rsid w:val="00F61D09"/>
    <w:pPr>
      <w:tabs>
        <w:tab w:val="center" w:pos="4536"/>
        <w:tab w:val="right" w:pos="9072"/>
      </w:tabs>
    </w:pPr>
  </w:style>
  <w:style w:type="table" w:styleId="Grilledutableau">
    <w:name w:val="Table Grid"/>
    <w:basedOn w:val="TableauNormal"/>
    <w:rsid w:val="00F6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0084E"/>
    <w:rPr>
      <w:rFonts w:ascii="Tahoma" w:hAnsi="Tahoma" w:cs="Tahoma"/>
      <w:sz w:val="16"/>
      <w:szCs w:val="16"/>
    </w:rPr>
  </w:style>
  <w:style w:type="paragraph" w:customStyle="1" w:styleId="Default">
    <w:name w:val="Default"/>
    <w:rsid w:val="00971981"/>
    <w:pPr>
      <w:autoSpaceDE w:val="0"/>
      <w:autoSpaceDN w:val="0"/>
      <w:adjustRightInd w:val="0"/>
    </w:pPr>
    <w:rPr>
      <w:rFonts w:ascii="Calibri" w:eastAsiaTheme="minorHAnsi" w:hAnsi="Calibri" w:cs="Calibri"/>
      <w:color w:val="000000"/>
      <w:sz w:val="24"/>
      <w:szCs w:val="24"/>
      <w:lang w:eastAsia="en-US"/>
    </w:rPr>
  </w:style>
  <w:style w:type="paragraph" w:styleId="Paragraphedeliste">
    <w:name w:val="List Paragraph"/>
    <w:basedOn w:val="Normal"/>
    <w:uiPriority w:val="34"/>
    <w:qFormat/>
    <w:rsid w:val="00737A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FICHE DE POSTE DE DIRECTEUR ADJOINT</vt:lpstr>
    </vt:vector>
  </TitlesOfParts>
  <Company>Ministère de la Santé</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DE DIRECTEUR ADJOINT</dc:title>
  <dc:creator>lpegoraro</dc:creator>
  <cp:lastModifiedBy>PHILIPPE</cp:lastModifiedBy>
  <cp:revision>2</cp:revision>
  <cp:lastPrinted>2017-07-26T10:14:00Z</cp:lastPrinted>
  <dcterms:created xsi:type="dcterms:W3CDTF">2021-01-29T06:36:00Z</dcterms:created>
  <dcterms:modified xsi:type="dcterms:W3CDTF">2021-01-29T06:36:00Z</dcterms:modified>
</cp:coreProperties>
</file>