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8E" w:rsidRDefault="0043438E" w:rsidP="0043438E">
      <w:pPr>
        <w:jc w:val="center"/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438E" w:rsidTr="0043438E">
        <w:tc>
          <w:tcPr>
            <w:tcW w:w="9062" w:type="dxa"/>
          </w:tcPr>
          <w:p w:rsidR="0043438E" w:rsidRPr="00E3351B" w:rsidRDefault="0043438E" w:rsidP="0043438E">
            <w:pPr>
              <w:jc w:val="center"/>
              <w:rPr>
                <w:b/>
                <w:sz w:val="32"/>
                <w:szCs w:val="32"/>
              </w:rPr>
            </w:pPr>
            <w:r w:rsidRPr="00E3351B">
              <w:rPr>
                <w:b/>
                <w:sz w:val="32"/>
                <w:szCs w:val="32"/>
              </w:rPr>
              <w:t>Centre Hospitalier d’Ardèche Méridionale</w:t>
            </w:r>
          </w:p>
          <w:p w:rsidR="0043438E" w:rsidRPr="00FE30CE" w:rsidRDefault="0043438E" w:rsidP="0043438E">
            <w:pPr>
              <w:jc w:val="center"/>
              <w:rPr>
                <w:b/>
                <w:sz w:val="24"/>
                <w:szCs w:val="24"/>
              </w:rPr>
            </w:pPr>
            <w:r w:rsidRPr="00FE30CE">
              <w:rPr>
                <w:b/>
                <w:sz w:val="24"/>
                <w:szCs w:val="24"/>
              </w:rPr>
              <w:t>16, avenue de Bellande – B.P. 50146</w:t>
            </w:r>
          </w:p>
          <w:p w:rsidR="0043438E" w:rsidRPr="00FE30CE" w:rsidRDefault="0043438E" w:rsidP="0043438E">
            <w:pPr>
              <w:jc w:val="center"/>
              <w:rPr>
                <w:b/>
                <w:sz w:val="24"/>
                <w:szCs w:val="24"/>
              </w:rPr>
            </w:pPr>
            <w:r w:rsidRPr="00FE30CE">
              <w:rPr>
                <w:b/>
                <w:sz w:val="24"/>
                <w:szCs w:val="24"/>
              </w:rPr>
              <w:t>07205 AUBENAS Cedex</w:t>
            </w:r>
          </w:p>
          <w:p w:rsidR="0043438E" w:rsidRDefault="0043438E" w:rsidP="0043438E">
            <w:pPr>
              <w:jc w:val="center"/>
            </w:pPr>
          </w:p>
          <w:p w:rsidR="0043438E" w:rsidRDefault="0043438E" w:rsidP="0043438E">
            <w:pPr>
              <w:jc w:val="center"/>
            </w:pPr>
            <w:r>
              <w:t xml:space="preserve">Personne à contacter : </w:t>
            </w:r>
            <w:r w:rsidRPr="00FE30CE">
              <w:rPr>
                <w:b/>
              </w:rPr>
              <w:t xml:space="preserve">Monsieur </w:t>
            </w:r>
            <w:r w:rsidR="00E3351B" w:rsidRPr="00FE30CE">
              <w:rPr>
                <w:b/>
              </w:rPr>
              <w:t xml:space="preserve">Yvan </w:t>
            </w:r>
            <w:r w:rsidRPr="00FE30CE">
              <w:rPr>
                <w:b/>
              </w:rPr>
              <w:t>MANIGLIER, Directeur</w:t>
            </w:r>
          </w:p>
          <w:p w:rsidR="0043438E" w:rsidRDefault="0043438E" w:rsidP="0043438E">
            <w:pPr>
              <w:jc w:val="center"/>
            </w:pPr>
          </w:p>
        </w:tc>
      </w:tr>
    </w:tbl>
    <w:p w:rsidR="0043438E" w:rsidRDefault="0043438E" w:rsidP="0043438E">
      <w:pPr>
        <w:jc w:val="center"/>
      </w:pPr>
    </w:p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3119"/>
        <w:gridCol w:w="6085"/>
      </w:tblGrid>
      <w:tr w:rsidR="0043438E" w:rsidTr="00E3351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3438E" w:rsidRPr="00E3351B" w:rsidRDefault="0043438E" w:rsidP="005F7837">
            <w:pPr>
              <w:rPr>
                <w:sz w:val="24"/>
                <w:szCs w:val="24"/>
              </w:rPr>
            </w:pPr>
            <w:r w:rsidRPr="00E3351B">
              <w:rPr>
                <w:sz w:val="24"/>
                <w:szCs w:val="24"/>
              </w:rPr>
              <w:t>INTITULE DU POSTE</w:t>
            </w:r>
          </w:p>
        </w:tc>
        <w:tc>
          <w:tcPr>
            <w:tcW w:w="6085" w:type="dxa"/>
            <w:tcBorders>
              <w:left w:val="nil"/>
            </w:tcBorders>
          </w:tcPr>
          <w:p w:rsidR="0043438E" w:rsidRPr="00E3351B" w:rsidRDefault="0043438E" w:rsidP="0043438E">
            <w:pPr>
              <w:jc w:val="center"/>
              <w:rPr>
                <w:b/>
                <w:sz w:val="28"/>
                <w:szCs w:val="28"/>
              </w:rPr>
            </w:pPr>
            <w:r w:rsidRPr="00E3351B">
              <w:rPr>
                <w:b/>
                <w:sz w:val="28"/>
                <w:szCs w:val="28"/>
              </w:rPr>
              <w:t>DIRECTEUR DES SOINS – DIRECTEUR DE L’IFSI</w:t>
            </w:r>
            <w:r w:rsidR="00411484" w:rsidRPr="00E3351B">
              <w:rPr>
                <w:b/>
                <w:sz w:val="28"/>
                <w:szCs w:val="28"/>
              </w:rPr>
              <w:t>/IFAS</w:t>
            </w:r>
          </w:p>
        </w:tc>
      </w:tr>
    </w:tbl>
    <w:p w:rsidR="0043438E" w:rsidRDefault="0043438E" w:rsidP="005F7837"/>
    <w:p w:rsidR="00E3351B" w:rsidRDefault="00E3351B" w:rsidP="005F7837"/>
    <w:p w:rsidR="005F7837" w:rsidRPr="00E3351B" w:rsidRDefault="005F7837" w:rsidP="005F7837">
      <w:pPr>
        <w:rPr>
          <w:sz w:val="24"/>
          <w:szCs w:val="24"/>
        </w:rPr>
      </w:pPr>
      <w:r w:rsidRPr="00E3351B">
        <w:rPr>
          <w:sz w:val="24"/>
          <w:szCs w:val="24"/>
        </w:rPr>
        <w:t>DESCRIPTIF DU POSTE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438E" w:rsidTr="0043438E">
        <w:tc>
          <w:tcPr>
            <w:tcW w:w="9062" w:type="dxa"/>
          </w:tcPr>
          <w:p w:rsidR="00E3351B" w:rsidRDefault="00E3351B" w:rsidP="005F7837">
            <w:pPr>
              <w:jc w:val="both"/>
            </w:pPr>
          </w:p>
          <w:p w:rsidR="0043438E" w:rsidRDefault="005F7837" w:rsidP="005F7837">
            <w:pPr>
              <w:jc w:val="both"/>
            </w:pPr>
            <w:r>
              <w:t xml:space="preserve">L’Institut de Formation en Soins Infirmiers d’Aubenas est adossé au Centre Hospitalier d’Ardèche Méridionale, Etablissement Public de Santé regroupant </w:t>
            </w:r>
            <w:r w:rsidR="00411484">
              <w:t>727</w:t>
            </w:r>
            <w:r>
              <w:t xml:space="preserve"> lits et places</w:t>
            </w:r>
            <w:r w:rsidR="00411484">
              <w:t xml:space="preserve"> de MCO, SSR et EHPAD</w:t>
            </w:r>
            <w:r w:rsidR="00FE30CE">
              <w:t>.</w:t>
            </w:r>
          </w:p>
          <w:p w:rsidR="005F7837" w:rsidRDefault="005F7837" w:rsidP="005F7837">
            <w:pPr>
              <w:jc w:val="both"/>
            </w:pPr>
          </w:p>
          <w:p w:rsidR="005F7837" w:rsidRDefault="005F7837" w:rsidP="005F7837">
            <w:pPr>
              <w:jc w:val="both"/>
            </w:pPr>
            <w:r>
              <w:t>L’IFSI</w:t>
            </w:r>
            <w:r w:rsidR="00411484">
              <w:t>/IFAS</w:t>
            </w:r>
            <w:r>
              <w:t xml:space="preserve"> d’Aubenas accueille des promotions</w:t>
            </w:r>
            <w:r w:rsidR="00411484">
              <w:t xml:space="preserve"> de </w:t>
            </w:r>
            <w:r w:rsidR="00B2501B">
              <w:t>45</w:t>
            </w:r>
            <w:r w:rsidR="00411484">
              <w:t xml:space="preserve"> étudiants infirmiers, </w:t>
            </w:r>
            <w:r w:rsidR="00B2501B">
              <w:t>39</w:t>
            </w:r>
            <w:r w:rsidR="00411484">
              <w:t xml:space="preserve"> élèves aides-soignants en cursus complet, </w:t>
            </w:r>
            <w:r w:rsidR="00B2501B">
              <w:t>30</w:t>
            </w:r>
            <w:r w:rsidR="00411484">
              <w:t xml:space="preserve"> élèves aides-soignants en cursus partiel.</w:t>
            </w:r>
          </w:p>
          <w:p w:rsidR="00411484" w:rsidRPr="00B2501B" w:rsidRDefault="00411484" w:rsidP="005F7837">
            <w:pPr>
              <w:jc w:val="both"/>
            </w:pPr>
            <w:r>
              <w:t xml:space="preserve">Il organise également des sessions de préparations aux concours IDE et AS ainsi que des actions de </w:t>
            </w:r>
            <w:r w:rsidRPr="00B2501B">
              <w:t>formation continue. L’établissement est enregistré en qualité d’organisme dispensateur du DPC.</w:t>
            </w:r>
          </w:p>
          <w:p w:rsidR="00411484" w:rsidRDefault="00CE51B0" w:rsidP="005F7837">
            <w:pPr>
              <w:jc w:val="both"/>
            </w:pPr>
            <w:r>
              <w:t>L</w:t>
            </w:r>
            <w:r w:rsidR="00411484" w:rsidRPr="00B2501B">
              <w:t>’IFSI dispose par ailleurs d’</w:t>
            </w:r>
            <w:r w:rsidR="00B2501B" w:rsidRPr="00B2501B">
              <w:t>un agrément dans le cadre de l’accompagnement à la</w:t>
            </w:r>
            <w:r w:rsidR="00411484" w:rsidRPr="00B2501B">
              <w:t xml:space="preserve"> VAE des IBODE</w:t>
            </w:r>
            <w:r w:rsidR="00B2501B">
              <w:t xml:space="preserve">, AS </w:t>
            </w:r>
            <w:r>
              <w:t>et</w:t>
            </w:r>
            <w:r w:rsidR="00B2501B">
              <w:t xml:space="preserve"> </w:t>
            </w:r>
            <w:r>
              <w:t>auxiliaires de puériculture</w:t>
            </w:r>
            <w:r w:rsidR="00411484">
              <w:t>.</w:t>
            </w:r>
          </w:p>
          <w:p w:rsidR="00411484" w:rsidRDefault="00411484" w:rsidP="005F7837">
            <w:pPr>
              <w:jc w:val="both"/>
            </w:pPr>
          </w:p>
          <w:p w:rsidR="00411484" w:rsidRDefault="00411484" w:rsidP="00FE30CE">
            <w:pPr>
              <w:jc w:val="both"/>
            </w:pPr>
            <w:r>
              <w:t xml:space="preserve">L’équipe est composée de </w:t>
            </w:r>
            <w:r w:rsidR="00FE30CE">
              <w:t>dix</w:t>
            </w:r>
            <w:r>
              <w:t xml:space="preserve"> cadres formateurs, d’une documentaliste, d’un animateur multimédia et de </w:t>
            </w:r>
            <w:r w:rsidR="00FE30CE">
              <w:t>deux</w:t>
            </w:r>
            <w:r>
              <w:t xml:space="preserve"> secrétaires.</w:t>
            </w:r>
          </w:p>
          <w:p w:rsidR="00E3351B" w:rsidRDefault="00E3351B" w:rsidP="00FE30CE">
            <w:pPr>
              <w:jc w:val="both"/>
            </w:pPr>
          </w:p>
        </w:tc>
      </w:tr>
    </w:tbl>
    <w:p w:rsidR="0043438E" w:rsidRDefault="0043438E" w:rsidP="0043438E">
      <w:pPr>
        <w:jc w:val="center"/>
      </w:pPr>
    </w:p>
    <w:p w:rsidR="00411484" w:rsidRPr="00E3351B" w:rsidRDefault="00411484" w:rsidP="00411484">
      <w:pPr>
        <w:rPr>
          <w:sz w:val="24"/>
          <w:szCs w:val="24"/>
        </w:rPr>
      </w:pPr>
      <w:r w:rsidRPr="00E3351B">
        <w:rPr>
          <w:sz w:val="24"/>
          <w:szCs w:val="24"/>
        </w:rPr>
        <w:t>COTATION DE LA PART FONCTIONS DE LA PFR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1484" w:rsidTr="00411484">
        <w:tc>
          <w:tcPr>
            <w:tcW w:w="9062" w:type="dxa"/>
          </w:tcPr>
          <w:p w:rsidR="00411484" w:rsidRPr="00FE30CE" w:rsidRDefault="00411484" w:rsidP="00411484">
            <w:pPr>
              <w:jc w:val="center"/>
              <w:rPr>
                <w:sz w:val="24"/>
                <w:szCs w:val="24"/>
              </w:rPr>
            </w:pPr>
            <w:r w:rsidRPr="00FE30CE">
              <w:rPr>
                <w:sz w:val="24"/>
                <w:szCs w:val="24"/>
              </w:rPr>
              <w:t>2,8</w:t>
            </w:r>
          </w:p>
        </w:tc>
      </w:tr>
    </w:tbl>
    <w:p w:rsidR="00411484" w:rsidRDefault="00411484" w:rsidP="00411484"/>
    <w:p w:rsidR="00411484" w:rsidRPr="00E3351B" w:rsidRDefault="00411484" w:rsidP="00411484">
      <w:pPr>
        <w:rPr>
          <w:sz w:val="24"/>
          <w:szCs w:val="24"/>
        </w:rPr>
      </w:pPr>
      <w:r w:rsidRPr="00E3351B">
        <w:rPr>
          <w:sz w:val="24"/>
          <w:szCs w:val="24"/>
        </w:rPr>
        <w:t>POSITIONNEMENT DANS L’ORGANIGRAMME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3D93" w:rsidTr="00D33D93">
        <w:tc>
          <w:tcPr>
            <w:tcW w:w="9062" w:type="dxa"/>
          </w:tcPr>
          <w:p w:rsidR="00E3351B" w:rsidRDefault="00E3351B" w:rsidP="00411484"/>
          <w:p w:rsidR="00D33D93" w:rsidRDefault="00D33D93" w:rsidP="00411484">
            <w:r>
              <w:t>Membre de l’équipe de Direction, le (la</w:t>
            </w:r>
            <w:r w:rsidR="00F136AE">
              <w:t>) Directeur</w:t>
            </w:r>
            <w:r>
              <w:t>(trice)</w:t>
            </w:r>
            <w:r w:rsidR="00EE25D9">
              <w:t xml:space="preserve"> est placé(e) sous l’autorité directe du Chef d’Etablissement.</w:t>
            </w:r>
          </w:p>
          <w:p w:rsidR="00D17F3D" w:rsidRDefault="00D17F3D" w:rsidP="00D17F3D"/>
        </w:tc>
      </w:tr>
    </w:tbl>
    <w:p w:rsidR="00411484" w:rsidRDefault="00411484" w:rsidP="00411484"/>
    <w:p w:rsidR="00E3351B" w:rsidRDefault="00E3351B">
      <w:r>
        <w:br w:type="page"/>
      </w:r>
    </w:p>
    <w:p w:rsidR="00411484" w:rsidRPr="00E3351B" w:rsidRDefault="00D17F3D" w:rsidP="00411484">
      <w:pPr>
        <w:rPr>
          <w:sz w:val="24"/>
          <w:szCs w:val="24"/>
        </w:rPr>
      </w:pPr>
      <w:r w:rsidRPr="00E3351B">
        <w:rPr>
          <w:sz w:val="24"/>
          <w:szCs w:val="24"/>
        </w:rPr>
        <w:lastRenderedPageBreak/>
        <w:t>RELATIONS FONCTIONNELLES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7F3D" w:rsidTr="00D17F3D">
        <w:tc>
          <w:tcPr>
            <w:tcW w:w="9062" w:type="dxa"/>
          </w:tcPr>
          <w:p w:rsidR="00E3351B" w:rsidRDefault="00E3351B" w:rsidP="00D17F3D"/>
          <w:p w:rsidR="00D17F3D" w:rsidRDefault="00D17F3D" w:rsidP="00E3351B">
            <w:pPr>
              <w:jc w:val="both"/>
            </w:pPr>
            <w:r>
              <w:t>Il (Elle) entretient des relations fonctionnelles avec les différentes directions fonctionnelles (Direction des Soins, DRH, Direction des Affaires Financières, Direction des Moyens Opérationnels,).</w:t>
            </w:r>
          </w:p>
          <w:p w:rsidR="00D17F3D" w:rsidRDefault="00D17F3D" w:rsidP="00E3351B">
            <w:pPr>
              <w:jc w:val="both"/>
            </w:pPr>
          </w:p>
          <w:p w:rsidR="00D17F3D" w:rsidRDefault="00E3351B" w:rsidP="00E3351B">
            <w:pPr>
              <w:jc w:val="both"/>
            </w:pPr>
            <w:r>
              <w:t>Le (La) Directeur</w:t>
            </w:r>
            <w:r w:rsidR="00D17F3D">
              <w:t>(trice) de l’IFSI peut s’appuyer sur une collaboration étroite avec la Coordinatrice Générale des Soins du Centre Hospitalier.</w:t>
            </w:r>
          </w:p>
          <w:p w:rsidR="00D17F3D" w:rsidRDefault="00D17F3D" w:rsidP="00E3351B">
            <w:pPr>
              <w:jc w:val="both"/>
            </w:pPr>
          </w:p>
          <w:p w:rsidR="00D17F3D" w:rsidRDefault="00D17F3D" w:rsidP="00E3351B">
            <w:pPr>
              <w:jc w:val="both"/>
            </w:pPr>
            <w:r>
              <w:t xml:space="preserve">Au sein du territoire de santé Sud Drôme Ardèche, une collaboration et une coordination sont entretenues avec les IFSI/IFAS de </w:t>
            </w:r>
            <w:r w:rsidR="00D97BAE">
              <w:t xml:space="preserve">Valence, </w:t>
            </w:r>
            <w:r>
              <w:t>Privas et Montélimar</w:t>
            </w:r>
            <w:r w:rsidR="00E3351B">
              <w:t>,</w:t>
            </w:r>
            <w:r w:rsidR="00D97BAE">
              <w:t xml:space="preserve"> et notamment avec celui de Montélimar dans le cadre du GHT</w:t>
            </w:r>
            <w:r>
              <w:t>.</w:t>
            </w:r>
          </w:p>
          <w:p w:rsidR="00E3351B" w:rsidRDefault="00E3351B" w:rsidP="00E3351B">
            <w:pPr>
              <w:jc w:val="both"/>
            </w:pPr>
          </w:p>
          <w:p w:rsidR="00D17F3D" w:rsidRDefault="00D17F3D" w:rsidP="00E3351B">
            <w:pPr>
              <w:jc w:val="both"/>
            </w:pPr>
            <w:r>
              <w:t>Des liens réguliers sont établis avec la Région Auvergne-Rhône-Alpes, financeur essentiel de l’IFSI.</w:t>
            </w:r>
          </w:p>
          <w:p w:rsidR="00E3351B" w:rsidRDefault="00E3351B" w:rsidP="00E3351B">
            <w:pPr>
              <w:jc w:val="both"/>
            </w:pPr>
          </w:p>
          <w:p w:rsidR="00D17F3D" w:rsidRDefault="00D17F3D" w:rsidP="00E3351B">
            <w:pPr>
              <w:jc w:val="both"/>
            </w:pPr>
            <w:r>
              <w:t>Dans le cadre de « l’universitarisation » de la formation infirmière, l’IFSI d’Aubenas travaille en partenariat avec le secteur Santé de l’Université Grenoble Alpes</w:t>
            </w:r>
            <w:r w:rsidR="00370F91">
              <w:t xml:space="preserve"> et </w:t>
            </w:r>
            <w:r w:rsidR="007A13C8">
              <w:t>le</w:t>
            </w:r>
            <w:r w:rsidR="00370F91">
              <w:t xml:space="preserve"> GCS IFSI Auvergne-Rhône-Alpes</w:t>
            </w:r>
            <w:r>
              <w:t>.</w:t>
            </w:r>
          </w:p>
          <w:p w:rsidR="00E3351B" w:rsidRDefault="00E3351B" w:rsidP="007A13C8"/>
        </w:tc>
      </w:tr>
    </w:tbl>
    <w:p w:rsidR="00370F91" w:rsidRDefault="00370F91" w:rsidP="00411484"/>
    <w:p w:rsidR="00D17F3D" w:rsidRPr="00E3351B" w:rsidRDefault="00D17F3D" w:rsidP="00411484">
      <w:pPr>
        <w:rPr>
          <w:sz w:val="24"/>
          <w:szCs w:val="24"/>
        </w:rPr>
      </w:pPr>
      <w:r w:rsidRPr="00E3351B">
        <w:rPr>
          <w:sz w:val="24"/>
          <w:szCs w:val="24"/>
        </w:rPr>
        <w:t>ACTIVITES,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7F3D" w:rsidTr="00D17F3D">
        <w:tc>
          <w:tcPr>
            <w:tcW w:w="9062" w:type="dxa"/>
          </w:tcPr>
          <w:p w:rsidR="00E3351B" w:rsidRDefault="00E3351B" w:rsidP="00411484"/>
          <w:p w:rsidR="00D17F3D" w:rsidRPr="00E3351B" w:rsidRDefault="00D17F3D" w:rsidP="00411484">
            <w:pPr>
              <w:rPr>
                <w:b/>
              </w:rPr>
            </w:pPr>
            <w:r w:rsidRPr="00E3351B">
              <w:rPr>
                <w:b/>
              </w:rPr>
              <w:t>Les activités spécifiques :</w:t>
            </w:r>
          </w:p>
          <w:p w:rsidR="00D17F3D" w:rsidRDefault="00D17F3D" w:rsidP="00411484"/>
          <w:p w:rsidR="00D17F3D" w:rsidRDefault="00D17F3D" w:rsidP="00E3351B">
            <w:pPr>
              <w:jc w:val="both"/>
            </w:pPr>
            <w:r>
              <w:t>Assurer avec la Coordinatrice Générale des Soins la permanence de la direction des soins sur l’ensemble de l’établissement (IFSI + CH)</w:t>
            </w:r>
            <w:r w:rsidR="000B78E3">
              <w:t>.</w:t>
            </w:r>
          </w:p>
          <w:p w:rsidR="000B78E3" w:rsidRDefault="000B78E3" w:rsidP="00E3351B">
            <w:pPr>
              <w:jc w:val="both"/>
            </w:pPr>
          </w:p>
          <w:p w:rsidR="000B78E3" w:rsidRDefault="000B78E3" w:rsidP="00E3351B">
            <w:pPr>
              <w:jc w:val="both"/>
            </w:pPr>
            <w:r>
              <w:t>Participation et animation de groupes de travail transversaux sur l’ensemble du Centre Hospitalier.</w:t>
            </w:r>
          </w:p>
          <w:p w:rsidR="000B78E3" w:rsidRDefault="000B78E3" w:rsidP="00E3351B">
            <w:pPr>
              <w:jc w:val="both"/>
            </w:pPr>
            <w:r>
              <w:t>Participation au tour de garde administrative du Centre Hospitalier sur la base d’une s</w:t>
            </w:r>
            <w:r w:rsidR="00F136AE">
              <w:t>emaine toutes les cinq semaines, en contrepartie d’un logement de fonctions.</w:t>
            </w:r>
          </w:p>
          <w:p w:rsidR="000B78E3" w:rsidRDefault="000B78E3" w:rsidP="00E3351B">
            <w:pPr>
              <w:jc w:val="both"/>
            </w:pPr>
          </w:p>
          <w:p w:rsidR="000B78E3" w:rsidRPr="00E3351B" w:rsidRDefault="000B78E3" w:rsidP="00E3351B">
            <w:pPr>
              <w:jc w:val="both"/>
              <w:rPr>
                <w:b/>
              </w:rPr>
            </w:pPr>
            <w:r w:rsidRPr="00E3351B">
              <w:rPr>
                <w:b/>
              </w:rPr>
              <w:t>Les activités principales :</w:t>
            </w:r>
          </w:p>
          <w:p w:rsidR="000B78E3" w:rsidRDefault="000B78E3" w:rsidP="00E3351B">
            <w:pPr>
              <w:jc w:val="both"/>
            </w:pPr>
          </w:p>
          <w:p w:rsidR="000B78E3" w:rsidRPr="00E3351B" w:rsidRDefault="000B78E3" w:rsidP="00E3351B">
            <w:pPr>
              <w:jc w:val="both"/>
              <w:rPr>
                <w:b/>
                <w:i/>
              </w:rPr>
            </w:pPr>
            <w:r w:rsidRPr="00E3351B">
              <w:rPr>
                <w:b/>
                <w:i/>
              </w:rPr>
              <w:t>1 – Volet institutionnel</w:t>
            </w:r>
          </w:p>
          <w:p w:rsidR="000B78E3" w:rsidRDefault="000B78E3" w:rsidP="00E3351B">
            <w:pPr>
              <w:jc w:val="both"/>
            </w:pPr>
          </w:p>
          <w:p w:rsidR="000B78E3" w:rsidRDefault="000B78E3" w:rsidP="00C3330B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Préparation du dossier d’autorisation en vue de la création ou du renouvellement de l’autorisation des Instituts de formation.</w:t>
            </w:r>
          </w:p>
          <w:p w:rsidR="000B78E3" w:rsidRDefault="000B78E3" w:rsidP="00C3330B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Définition et mise en œuvre de la démarche qualité à l’IFSI et participation au processus de certification de l’établissement.</w:t>
            </w:r>
          </w:p>
          <w:p w:rsidR="000B78E3" w:rsidRDefault="000B78E3" w:rsidP="00C3330B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Elaboration du règlement intérieur de l’IFSI/IFAS et validation après avis des conseils pédagogique et technique.</w:t>
            </w:r>
          </w:p>
          <w:p w:rsidR="000B78E3" w:rsidRDefault="000B78E3" w:rsidP="00C3330B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Réalisation du rapport annuel d’activité.</w:t>
            </w:r>
          </w:p>
          <w:p w:rsidR="000B78E3" w:rsidRDefault="000B78E3" w:rsidP="00C3330B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Détermination, adaptation et suivi des organisations internes de l’Institut.</w:t>
            </w:r>
          </w:p>
          <w:p w:rsidR="000B78E3" w:rsidRDefault="000B78E3" w:rsidP="00C3330B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Participation, en qualité de membre de la commission de formation, à l’élaboration du plan de formation continue</w:t>
            </w:r>
            <w:r w:rsidR="00330C44">
              <w:t xml:space="preserve"> ainsi que du programme de développement professionnel continu de l’établissement.</w:t>
            </w:r>
          </w:p>
          <w:p w:rsidR="001B7156" w:rsidRDefault="001B7156" w:rsidP="00C3330B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Apport à la politique de gestion prévisionnelle des emplois et des compétences de l’établissement par sa connaissance de l’évolution des métiers soignants.</w:t>
            </w:r>
          </w:p>
          <w:p w:rsidR="00330C44" w:rsidRDefault="00330C44" w:rsidP="00E3351B">
            <w:pPr>
              <w:jc w:val="both"/>
            </w:pPr>
          </w:p>
          <w:p w:rsidR="00E3351B" w:rsidRDefault="00E3351B" w:rsidP="00E3351B">
            <w:pPr>
              <w:jc w:val="both"/>
            </w:pPr>
          </w:p>
          <w:p w:rsidR="00E3351B" w:rsidRDefault="00E3351B" w:rsidP="00E3351B">
            <w:pPr>
              <w:jc w:val="both"/>
            </w:pPr>
          </w:p>
          <w:p w:rsidR="00330C44" w:rsidRPr="00E3351B" w:rsidRDefault="00330C44" w:rsidP="00E3351B">
            <w:pPr>
              <w:jc w:val="both"/>
              <w:rPr>
                <w:b/>
                <w:i/>
              </w:rPr>
            </w:pPr>
            <w:r w:rsidRPr="00E3351B">
              <w:rPr>
                <w:b/>
                <w:i/>
              </w:rPr>
              <w:t>2 – Volet pédagogique</w:t>
            </w:r>
          </w:p>
          <w:p w:rsidR="00330C44" w:rsidRDefault="00330C44" w:rsidP="00E3351B">
            <w:pPr>
              <w:jc w:val="both"/>
            </w:pPr>
          </w:p>
          <w:p w:rsidR="00330C44" w:rsidRDefault="00330C44" w:rsidP="00C3330B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Conception, avec l’ensemble de l’équipe enseignante, du projet pédagogique.</w:t>
            </w:r>
          </w:p>
          <w:p w:rsidR="00330C44" w:rsidRDefault="00330C44" w:rsidP="00C3330B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Organisation et mise en œuvre de la formation ini</w:t>
            </w:r>
            <w:r w:rsidR="007A13C8">
              <w:t>tiale, préparatoire et continue, pour ce dernier en partenariat avec le service formation de la Direction des Ressources Humaines.</w:t>
            </w:r>
          </w:p>
          <w:p w:rsidR="00330C44" w:rsidRDefault="00330C44" w:rsidP="00C3330B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Organisation du déroulement de l’enseignement théorique et clinique, de l’alternance des périodes de formation théorique et de stage en lien avec les établissements d’accueil et les IFSI partenaires.</w:t>
            </w:r>
          </w:p>
          <w:p w:rsidR="00330C44" w:rsidRDefault="00330C44" w:rsidP="00C3330B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Contrôle du contenu des études et du dispositif d’évaluation de la formation.</w:t>
            </w:r>
          </w:p>
          <w:p w:rsidR="00330C44" w:rsidRDefault="00330C44" w:rsidP="00C3330B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Animation et encadrement de l’équipe pédagogique.</w:t>
            </w:r>
          </w:p>
          <w:p w:rsidR="00330C44" w:rsidRDefault="00330C44" w:rsidP="00C3330B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Présidence de la commission d’attribution des crédits ECTS.</w:t>
            </w:r>
          </w:p>
          <w:p w:rsidR="00330C44" w:rsidRDefault="00330C44" w:rsidP="00C3330B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Participation aux jurys de délivrance des diplômes ou certificats sanctionnant les formations dispensées dans l’institut.</w:t>
            </w:r>
          </w:p>
          <w:p w:rsidR="00330C44" w:rsidRDefault="00330C44" w:rsidP="00C3330B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Organisation du conseil pédagogique ou technique et d’éventuels conseils de discipline.</w:t>
            </w:r>
          </w:p>
          <w:p w:rsidR="00352270" w:rsidRDefault="00352270" w:rsidP="00E3351B">
            <w:pPr>
              <w:jc w:val="both"/>
            </w:pPr>
          </w:p>
          <w:p w:rsidR="00352270" w:rsidRPr="00E3351B" w:rsidRDefault="00352270" w:rsidP="00E3351B">
            <w:pPr>
              <w:jc w:val="both"/>
              <w:rPr>
                <w:b/>
                <w:i/>
              </w:rPr>
            </w:pPr>
            <w:r w:rsidRPr="00E3351B">
              <w:rPr>
                <w:b/>
                <w:i/>
              </w:rPr>
              <w:t>3 – Volet vie étudiante</w:t>
            </w:r>
          </w:p>
          <w:p w:rsidR="00A8256C" w:rsidRDefault="00A8256C" w:rsidP="00E3351B">
            <w:pPr>
              <w:jc w:val="both"/>
            </w:pPr>
          </w:p>
          <w:p w:rsidR="00A8256C" w:rsidRDefault="00A8256C" w:rsidP="00C3330B">
            <w:pPr>
              <w:pStyle w:val="Paragraphedeliste"/>
              <w:numPr>
                <w:ilvl w:val="0"/>
                <w:numId w:val="3"/>
              </w:numPr>
              <w:jc w:val="both"/>
            </w:pPr>
            <w:r>
              <w:t>Information des publics concernés sur les métiers, les formations et les modalités d’accès à celles-ci.</w:t>
            </w:r>
          </w:p>
          <w:p w:rsidR="00A8256C" w:rsidRDefault="00A8256C" w:rsidP="00C3330B">
            <w:pPr>
              <w:pStyle w:val="Paragraphedeliste"/>
              <w:numPr>
                <w:ilvl w:val="0"/>
                <w:numId w:val="3"/>
              </w:numPr>
              <w:jc w:val="both"/>
            </w:pPr>
            <w:r>
              <w:t>Organisation et mise en œuvre des épreuves de sélection ainsi que des jurys constitués en vue de l’admission dans les instituts de formation.</w:t>
            </w:r>
          </w:p>
          <w:p w:rsidR="00330C44" w:rsidRDefault="00A31E01" w:rsidP="00C3330B">
            <w:pPr>
              <w:pStyle w:val="Paragraphedeliste"/>
              <w:numPr>
                <w:ilvl w:val="0"/>
                <w:numId w:val="3"/>
              </w:numPr>
              <w:jc w:val="both"/>
            </w:pPr>
            <w:r>
              <w:t>Accueil et information des étudiants et mise à disposition de ressources pédagogiques et de recherche.</w:t>
            </w:r>
          </w:p>
          <w:p w:rsidR="00715C02" w:rsidRDefault="00A31E01" w:rsidP="00C3330B">
            <w:pPr>
              <w:pStyle w:val="Paragraphedeliste"/>
              <w:numPr>
                <w:ilvl w:val="0"/>
                <w:numId w:val="3"/>
              </w:numPr>
              <w:jc w:val="both"/>
            </w:pPr>
            <w:r>
              <w:t>Prise de décisions pédagogiques ou disciplinaires individuelles concernant les étudiants, après avis du conseil pédagogique, technique ou de discipline</w:t>
            </w:r>
            <w:r w:rsidR="00715C02">
              <w:t>.</w:t>
            </w:r>
          </w:p>
          <w:p w:rsidR="00715C02" w:rsidRDefault="00715C02" w:rsidP="00E3351B">
            <w:pPr>
              <w:jc w:val="both"/>
            </w:pPr>
          </w:p>
          <w:p w:rsidR="00715C02" w:rsidRPr="00C3330B" w:rsidRDefault="00715C02" w:rsidP="00E3351B">
            <w:pPr>
              <w:jc w:val="both"/>
              <w:rPr>
                <w:b/>
                <w:i/>
              </w:rPr>
            </w:pPr>
            <w:r w:rsidRPr="00C3330B">
              <w:rPr>
                <w:b/>
                <w:i/>
              </w:rPr>
              <w:t>4 – Gestion de la structure de formation</w:t>
            </w:r>
          </w:p>
          <w:p w:rsidR="00715C02" w:rsidRDefault="00715C02" w:rsidP="00E3351B">
            <w:pPr>
              <w:jc w:val="both"/>
            </w:pPr>
          </w:p>
          <w:p w:rsidR="00715C02" w:rsidRDefault="00715C02" w:rsidP="00C3330B">
            <w:pPr>
              <w:pStyle w:val="Paragraphedeliste"/>
              <w:numPr>
                <w:ilvl w:val="0"/>
                <w:numId w:val="4"/>
              </w:numPr>
              <w:jc w:val="both"/>
            </w:pPr>
            <w:r>
              <w:t>Participation au recrutement des formateurs permanents et des intervenants extérieurs.</w:t>
            </w:r>
          </w:p>
          <w:p w:rsidR="00715C02" w:rsidRDefault="00715C02" w:rsidP="00C3330B">
            <w:pPr>
              <w:pStyle w:val="Paragraphedeliste"/>
              <w:numPr>
                <w:ilvl w:val="0"/>
                <w:numId w:val="4"/>
              </w:numPr>
              <w:jc w:val="both"/>
            </w:pPr>
            <w:r>
              <w:t>Gestion fonctionnelle des personnels affectés à la structure de formation et placés sous sa responsabilité.</w:t>
            </w:r>
          </w:p>
          <w:p w:rsidR="00715C02" w:rsidRDefault="00715C02" w:rsidP="00C3330B">
            <w:pPr>
              <w:pStyle w:val="Paragraphedeliste"/>
              <w:numPr>
                <w:ilvl w:val="0"/>
                <w:numId w:val="4"/>
              </w:numPr>
              <w:jc w:val="both"/>
            </w:pPr>
            <w:r>
              <w:t>Responsabilité de l’établissement des justificatifs nécessaires à la gestion du temps et de la paye des agents ou intervenants de l’IFSI</w:t>
            </w:r>
            <w:r w:rsidR="00BE7E4D">
              <w:t>,</w:t>
            </w:r>
            <w:r>
              <w:t xml:space="preserve"> ainsi que des indemnités de stage et frais de déplacement des étudiants.</w:t>
            </w:r>
          </w:p>
          <w:p w:rsidR="00BE7E4D" w:rsidRDefault="00BE7E4D" w:rsidP="00C3330B">
            <w:pPr>
              <w:pStyle w:val="Paragraphedeliste"/>
              <w:numPr>
                <w:ilvl w:val="0"/>
                <w:numId w:val="4"/>
              </w:numPr>
              <w:jc w:val="both"/>
            </w:pPr>
            <w:r>
              <w:t>Participation à la gestion financière de la structure dans le cadre de la délégation de gestion donnée par le Directeur de l’établissement.</w:t>
            </w:r>
          </w:p>
          <w:p w:rsidR="00BE7E4D" w:rsidRDefault="00BE7E4D" w:rsidP="00C3330B">
            <w:pPr>
              <w:pStyle w:val="Paragraphedeliste"/>
              <w:numPr>
                <w:ilvl w:val="0"/>
                <w:numId w:val="4"/>
              </w:numPr>
              <w:jc w:val="both"/>
            </w:pPr>
            <w:r>
              <w:t>Répartition équilibrée des ressources.</w:t>
            </w:r>
          </w:p>
          <w:p w:rsidR="00BE7E4D" w:rsidRDefault="00BE7E4D" w:rsidP="00C3330B">
            <w:pPr>
              <w:pStyle w:val="Paragraphedeliste"/>
              <w:numPr>
                <w:ilvl w:val="0"/>
                <w:numId w:val="4"/>
              </w:numPr>
              <w:jc w:val="both"/>
            </w:pPr>
            <w:r>
              <w:t>Recherche dynamique de financements complémentaires, notamment par une politique proactive en matière de taxe d’apprentissage.</w:t>
            </w:r>
          </w:p>
          <w:p w:rsidR="00BE7E4D" w:rsidRDefault="00BE7E4D" w:rsidP="00C3330B">
            <w:pPr>
              <w:pStyle w:val="Paragraphedeliste"/>
              <w:numPr>
                <w:ilvl w:val="0"/>
                <w:numId w:val="4"/>
              </w:numPr>
              <w:jc w:val="both"/>
            </w:pPr>
            <w:r>
              <w:t>Veille au respect des règles de sécurité et à l’entretien des locaux et du matériel.</w:t>
            </w:r>
          </w:p>
          <w:p w:rsidR="00BE7E4D" w:rsidRDefault="00BE7E4D" w:rsidP="00E3351B">
            <w:pPr>
              <w:jc w:val="both"/>
            </w:pPr>
          </w:p>
          <w:p w:rsidR="00BE7E4D" w:rsidRPr="00C3330B" w:rsidRDefault="00BE7E4D" w:rsidP="00E3351B">
            <w:pPr>
              <w:jc w:val="both"/>
              <w:rPr>
                <w:b/>
                <w:i/>
              </w:rPr>
            </w:pPr>
            <w:r w:rsidRPr="00C3330B">
              <w:rPr>
                <w:b/>
                <w:i/>
              </w:rPr>
              <w:t>5 – Activités en relation avec les partenaires extérieurs</w:t>
            </w:r>
          </w:p>
          <w:p w:rsidR="00BE7E4D" w:rsidRDefault="00BE7E4D" w:rsidP="00E3351B">
            <w:pPr>
              <w:jc w:val="both"/>
            </w:pPr>
          </w:p>
          <w:p w:rsidR="00BE7E4D" w:rsidRPr="00C3330B" w:rsidRDefault="00BE7E4D" w:rsidP="00E3351B">
            <w:pPr>
              <w:jc w:val="both"/>
              <w:rPr>
                <w:u w:val="single"/>
              </w:rPr>
            </w:pPr>
            <w:r w:rsidRPr="00C3330B">
              <w:rPr>
                <w:u w:val="single"/>
              </w:rPr>
              <w:t>S’agissant de l’Etat ou des autorités de tutelle :</w:t>
            </w:r>
          </w:p>
          <w:p w:rsidR="00C3330B" w:rsidRDefault="00C3330B" w:rsidP="00E3351B">
            <w:pPr>
              <w:jc w:val="both"/>
            </w:pPr>
          </w:p>
          <w:p w:rsidR="00BE7E4D" w:rsidRDefault="00BE7E4D" w:rsidP="00C3330B">
            <w:pPr>
              <w:pStyle w:val="Paragraphedeliste"/>
              <w:numPr>
                <w:ilvl w:val="0"/>
                <w:numId w:val="5"/>
              </w:numPr>
              <w:jc w:val="both"/>
            </w:pPr>
            <w:r>
              <w:t>Proposition, coordination et évaluation de la politique de formation en lien avec l’ARS, la DRJSCS et les Universités.</w:t>
            </w:r>
          </w:p>
          <w:p w:rsidR="00BE7E4D" w:rsidRDefault="00BE7E4D" w:rsidP="00C3330B">
            <w:pPr>
              <w:pStyle w:val="Paragraphedeliste"/>
              <w:numPr>
                <w:ilvl w:val="0"/>
                <w:numId w:val="5"/>
              </w:numPr>
              <w:jc w:val="both"/>
            </w:pPr>
            <w:r>
              <w:t>Participation aux travaux, réflexions et projets au niveau régional, en collaboration avec les conseillers pédagogiques et techniques régionaux.</w:t>
            </w:r>
          </w:p>
          <w:p w:rsidR="00BE7E4D" w:rsidRDefault="00BE7E4D" w:rsidP="00E3351B">
            <w:pPr>
              <w:jc w:val="both"/>
            </w:pPr>
          </w:p>
          <w:p w:rsidR="00C3330B" w:rsidRDefault="00C3330B" w:rsidP="00E3351B">
            <w:pPr>
              <w:jc w:val="both"/>
            </w:pPr>
          </w:p>
          <w:p w:rsidR="00BE7E4D" w:rsidRPr="00CD451B" w:rsidRDefault="00BE7E4D" w:rsidP="00E3351B">
            <w:pPr>
              <w:jc w:val="both"/>
              <w:rPr>
                <w:u w:val="single"/>
              </w:rPr>
            </w:pPr>
            <w:r w:rsidRPr="00CD451B">
              <w:rPr>
                <w:u w:val="single"/>
              </w:rPr>
              <w:t>S’agissant de la Région :</w:t>
            </w:r>
          </w:p>
          <w:p w:rsidR="00C3330B" w:rsidRDefault="00C3330B" w:rsidP="00E3351B">
            <w:pPr>
              <w:jc w:val="both"/>
            </w:pPr>
          </w:p>
          <w:p w:rsidR="00BE7E4D" w:rsidRDefault="00CD451B" w:rsidP="00CD451B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>Représentation de l’établissement lors de</w:t>
            </w:r>
            <w:r w:rsidR="00BE7E4D">
              <w:t xml:space="preserve"> l’élaboration du schéma régional des formations sanitaires </w:t>
            </w:r>
            <w:r>
              <w:t>et sociales pour les métiers relevant de sa compétence</w:t>
            </w:r>
            <w:r w:rsidR="00BE7E4D">
              <w:t>.</w:t>
            </w:r>
          </w:p>
          <w:p w:rsidR="00BE7E4D" w:rsidRDefault="00BE7E4D" w:rsidP="00E3351B">
            <w:pPr>
              <w:jc w:val="both"/>
            </w:pPr>
          </w:p>
          <w:p w:rsidR="00BE7E4D" w:rsidRPr="00CD451B" w:rsidRDefault="00BE7E4D" w:rsidP="00E3351B">
            <w:pPr>
              <w:jc w:val="both"/>
              <w:rPr>
                <w:u w:val="single"/>
              </w:rPr>
            </w:pPr>
            <w:r w:rsidRPr="00CD451B">
              <w:rPr>
                <w:u w:val="single"/>
              </w:rPr>
              <w:t>S’agissant des autres établissements</w:t>
            </w:r>
            <w:r w:rsidR="003C2D20" w:rsidRPr="00CD451B">
              <w:rPr>
                <w:u w:val="single"/>
              </w:rPr>
              <w:t xml:space="preserve"> sanitaires ou médico-sociaux</w:t>
            </w:r>
            <w:r w:rsidRPr="00CD451B">
              <w:rPr>
                <w:u w:val="single"/>
              </w:rPr>
              <w:t> :</w:t>
            </w:r>
          </w:p>
          <w:p w:rsidR="00CD451B" w:rsidRDefault="00CD451B" w:rsidP="00E3351B">
            <w:pPr>
              <w:jc w:val="both"/>
            </w:pPr>
          </w:p>
          <w:p w:rsidR="00BE7E4D" w:rsidRDefault="003C2D20" w:rsidP="00CD451B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>Mise en œuvre et évaluation du partenariat dans le cadre des stages.</w:t>
            </w:r>
          </w:p>
          <w:p w:rsidR="003C2D20" w:rsidRDefault="003C2D20" w:rsidP="00CD451B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>Participation à l’élaboration d’une politique de coordination des dispositifs de formation initiale dans le cadre du GHT.</w:t>
            </w:r>
          </w:p>
          <w:p w:rsidR="003C2D20" w:rsidRDefault="003C2D20" w:rsidP="00E3351B">
            <w:pPr>
              <w:jc w:val="both"/>
            </w:pPr>
          </w:p>
          <w:p w:rsidR="003C2D20" w:rsidRPr="00CD451B" w:rsidRDefault="003C2D20" w:rsidP="00E3351B">
            <w:pPr>
              <w:jc w:val="both"/>
              <w:rPr>
                <w:u w:val="single"/>
              </w:rPr>
            </w:pPr>
            <w:r w:rsidRPr="00CD451B">
              <w:rPr>
                <w:u w:val="single"/>
              </w:rPr>
              <w:t>S’agissant des autres partenaires :</w:t>
            </w:r>
          </w:p>
          <w:p w:rsidR="00CD451B" w:rsidRDefault="00CD451B" w:rsidP="00E3351B">
            <w:pPr>
              <w:jc w:val="both"/>
            </w:pPr>
          </w:p>
          <w:p w:rsidR="00CD451B" w:rsidRDefault="003C2D20" w:rsidP="00CD451B">
            <w:pPr>
              <w:pStyle w:val="Paragraphedeliste"/>
              <w:numPr>
                <w:ilvl w:val="0"/>
                <w:numId w:val="7"/>
              </w:numPr>
              <w:jc w:val="both"/>
            </w:pPr>
            <w:r>
              <w:t xml:space="preserve">Promotion de l’activité de l’institut de formation auprès des entreprises et partenaires. </w:t>
            </w:r>
          </w:p>
          <w:p w:rsidR="003C2D20" w:rsidRDefault="003C2D20" w:rsidP="00CD451B">
            <w:pPr>
              <w:pStyle w:val="Paragraphedeliste"/>
              <w:numPr>
                <w:ilvl w:val="0"/>
                <w:numId w:val="7"/>
              </w:numPr>
              <w:jc w:val="both"/>
            </w:pPr>
            <w:r>
              <w:t xml:space="preserve">Coordination avec les autres </w:t>
            </w:r>
            <w:r w:rsidR="00CD451B">
              <w:t>acteurs</w:t>
            </w:r>
            <w:r>
              <w:t xml:space="preserve"> du territoire : Pôle Emplois, organismes de protection sociale, mission locale, autres établissements d’enseignement (lycées, MFR…), forums des métiers. </w:t>
            </w:r>
          </w:p>
          <w:p w:rsidR="00BE7E4D" w:rsidRDefault="00BE7E4D" w:rsidP="00330C44"/>
        </w:tc>
      </w:tr>
    </w:tbl>
    <w:p w:rsidR="00D17F3D" w:rsidRDefault="00D17F3D" w:rsidP="00411484"/>
    <w:p w:rsidR="003C2D20" w:rsidRPr="00CD451B" w:rsidRDefault="003C2D20" w:rsidP="00411484">
      <w:pPr>
        <w:rPr>
          <w:sz w:val="24"/>
          <w:szCs w:val="24"/>
        </w:rPr>
      </w:pPr>
      <w:r w:rsidRPr="00CD451B">
        <w:rPr>
          <w:sz w:val="24"/>
          <w:szCs w:val="24"/>
        </w:rPr>
        <w:t>COMPETENCES REQUISES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2D20" w:rsidTr="003C2D20">
        <w:tc>
          <w:tcPr>
            <w:tcW w:w="9062" w:type="dxa"/>
          </w:tcPr>
          <w:p w:rsidR="00CD451B" w:rsidRDefault="00CD451B" w:rsidP="00411484"/>
          <w:p w:rsidR="003C2D20" w:rsidRPr="00CD451B" w:rsidRDefault="003C2D20" w:rsidP="00411484">
            <w:pPr>
              <w:rPr>
                <w:b/>
                <w:i/>
              </w:rPr>
            </w:pPr>
            <w:r w:rsidRPr="00CD451B">
              <w:rPr>
                <w:b/>
                <w:i/>
              </w:rPr>
              <w:t>1 – Les compétences stratégiques</w:t>
            </w:r>
          </w:p>
          <w:p w:rsidR="003C2D20" w:rsidRDefault="003C2D20" w:rsidP="00411484"/>
          <w:p w:rsidR="003C2D20" w:rsidRDefault="003C2D20" w:rsidP="00CD451B">
            <w:pPr>
              <w:pStyle w:val="Paragraphedeliste"/>
              <w:numPr>
                <w:ilvl w:val="0"/>
                <w:numId w:val="8"/>
              </w:numPr>
              <w:jc w:val="both"/>
            </w:pPr>
            <w:r>
              <w:t>Savoir se situer dans l’environnement et vis-à-vis des acteurs (structures et acteurs de santé, acteurs de formation, universités, autres instituts publics ou privés), des besoins en formation, en lien avec les Conseils Régionaux</w:t>
            </w:r>
            <w:r w:rsidR="008C5D8C">
              <w:t>, les Organismes Paritaires Collecteurs Agréés (OPCA) et l’Agence Nationale du Développement Professionnel Continu</w:t>
            </w:r>
            <w:r w:rsidR="00CD451B">
              <w:t xml:space="preserve"> (ANDPC)</w:t>
            </w:r>
            <w:r w:rsidR="008C5D8C">
              <w:t>.</w:t>
            </w:r>
          </w:p>
          <w:p w:rsidR="001B7156" w:rsidRDefault="001B7156" w:rsidP="00CD451B">
            <w:pPr>
              <w:pStyle w:val="Paragraphedeliste"/>
              <w:numPr>
                <w:ilvl w:val="0"/>
                <w:numId w:val="8"/>
              </w:numPr>
              <w:jc w:val="both"/>
            </w:pPr>
            <w:r>
              <w:t>Savoir traduire les objectifs d’évolution des métiers et des compétences</w:t>
            </w:r>
            <w:r w:rsidR="00241DDC">
              <w:t xml:space="preserve"> en objectifs pédagogiques et en plans d’actions.</w:t>
            </w:r>
          </w:p>
          <w:p w:rsidR="00241DDC" w:rsidRDefault="00241DDC" w:rsidP="00CD451B">
            <w:pPr>
              <w:pStyle w:val="Paragraphedeliste"/>
              <w:numPr>
                <w:ilvl w:val="0"/>
                <w:numId w:val="8"/>
              </w:numPr>
              <w:jc w:val="both"/>
            </w:pPr>
            <w:r>
              <w:t>Savoir identifier et développer un réseau de formateurs internes et d’intervenants externes.</w:t>
            </w:r>
          </w:p>
          <w:p w:rsidR="00241DDC" w:rsidRDefault="00241DDC" w:rsidP="00411484"/>
          <w:p w:rsidR="00241DDC" w:rsidRPr="00CD451B" w:rsidRDefault="00222612" w:rsidP="00411484">
            <w:pPr>
              <w:rPr>
                <w:b/>
                <w:i/>
              </w:rPr>
            </w:pPr>
            <w:r w:rsidRPr="00CD451B">
              <w:rPr>
                <w:b/>
                <w:i/>
              </w:rPr>
              <w:t xml:space="preserve">2 - </w:t>
            </w:r>
            <w:r w:rsidR="00241DDC" w:rsidRPr="00CD451B">
              <w:rPr>
                <w:b/>
                <w:i/>
              </w:rPr>
              <w:t>Les compétences de coordination</w:t>
            </w:r>
          </w:p>
          <w:p w:rsidR="00D2054E" w:rsidRDefault="00D2054E" w:rsidP="00411484"/>
          <w:p w:rsidR="00D2054E" w:rsidRDefault="00D2054E" w:rsidP="00CD451B">
            <w:pPr>
              <w:pStyle w:val="Paragraphedeliste"/>
              <w:numPr>
                <w:ilvl w:val="0"/>
                <w:numId w:val="9"/>
              </w:numPr>
              <w:jc w:val="both"/>
            </w:pPr>
            <w:r>
              <w:t>Savoir décider, négocier et arbitrer en interne et en externe avec les différents acteurs de la formation (financeurs, formateurs, terrains de stage, employeurs potentiels).</w:t>
            </w:r>
          </w:p>
          <w:p w:rsidR="00D2054E" w:rsidRDefault="00D2054E" w:rsidP="00CD451B">
            <w:pPr>
              <w:pStyle w:val="Paragraphedeliste"/>
              <w:numPr>
                <w:ilvl w:val="0"/>
                <w:numId w:val="9"/>
              </w:numPr>
              <w:jc w:val="both"/>
            </w:pPr>
            <w:r>
              <w:t>Savoir planifier, organiser, répartir les ressources au sein d’un institut de formation dans une approche transversale et efficiente.</w:t>
            </w:r>
          </w:p>
          <w:p w:rsidR="00D2054E" w:rsidRDefault="00D2054E" w:rsidP="00CD451B">
            <w:pPr>
              <w:pStyle w:val="Paragraphedeliste"/>
              <w:numPr>
                <w:ilvl w:val="0"/>
                <w:numId w:val="9"/>
              </w:numPr>
              <w:jc w:val="both"/>
            </w:pPr>
            <w:r>
              <w:t>Savoir animer le réseau de formateurs internes et d’intervenants externes ainsi que les professionnels accueillant les stagiaires.</w:t>
            </w:r>
          </w:p>
          <w:p w:rsidR="00222612" w:rsidRDefault="00222612" w:rsidP="00411484"/>
          <w:p w:rsidR="00222612" w:rsidRPr="00CD451B" w:rsidRDefault="00222612" w:rsidP="00411484">
            <w:pPr>
              <w:rPr>
                <w:b/>
                <w:i/>
              </w:rPr>
            </w:pPr>
            <w:r w:rsidRPr="00CD451B">
              <w:rPr>
                <w:b/>
                <w:i/>
              </w:rPr>
              <w:t>3 - Les compétences opérationnelles</w:t>
            </w:r>
          </w:p>
          <w:p w:rsidR="00222612" w:rsidRDefault="00222612" w:rsidP="00411484"/>
          <w:p w:rsidR="00222612" w:rsidRDefault="00222612" w:rsidP="00CD451B">
            <w:pPr>
              <w:pStyle w:val="Paragraphedeliste"/>
              <w:numPr>
                <w:ilvl w:val="0"/>
                <w:numId w:val="10"/>
              </w:numPr>
              <w:jc w:val="both"/>
            </w:pPr>
            <w:r>
              <w:t>Analyser et évaluer les pratiques professionnelles de l’équipe pédagogique et de l’ensemble des personnels de la structure.</w:t>
            </w:r>
          </w:p>
          <w:p w:rsidR="00BD4584" w:rsidRPr="00CD451B" w:rsidRDefault="00BD4584" w:rsidP="00CD451B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Calibri" w:hAnsi="Calibri" w:cs="Arial"/>
                <w:color w:val="000000"/>
              </w:rPr>
            </w:pPr>
            <w:r>
              <w:t xml:space="preserve">Prévoir l’évaluation des formations dans le cadre des procédures définies par le </w:t>
            </w:r>
            <w:r w:rsidRPr="00CD451B">
              <w:rPr>
                <w:rFonts w:ascii="Arial" w:hAnsi="Arial" w:cs="Arial"/>
                <w:color w:val="000000"/>
                <w:sz w:val="18"/>
                <w:szCs w:val="18"/>
              </w:rPr>
              <w:t xml:space="preserve">Haut Conseil de </w:t>
            </w:r>
            <w:r w:rsidRPr="00CD451B">
              <w:rPr>
                <w:rFonts w:ascii="Calibri" w:hAnsi="Calibri" w:cs="Arial"/>
                <w:color w:val="000000"/>
              </w:rPr>
              <w:t>l'évaluation de la recherche et de l'enseignement supérieur (HCERES).</w:t>
            </w:r>
          </w:p>
          <w:p w:rsidR="00BD4584" w:rsidRPr="00CD451B" w:rsidRDefault="00BD4584" w:rsidP="00CD451B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Calibri" w:hAnsi="Calibri" w:cs="Arial"/>
                <w:color w:val="000000"/>
              </w:rPr>
            </w:pPr>
            <w:r w:rsidRPr="00CD451B">
              <w:rPr>
                <w:rFonts w:ascii="Calibri" w:hAnsi="Calibri" w:cs="Arial"/>
                <w:color w:val="000000"/>
              </w:rPr>
              <w:lastRenderedPageBreak/>
              <w:t>Assurer une veille continue sur les évolutions réglementaires dans les domaines de la formation  et de l’exercice des professions paramédicales et de la santé.</w:t>
            </w:r>
          </w:p>
          <w:p w:rsidR="00CD451B" w:rsidRPr="00CD451B" w:rsidRDefault="00CD451B" w:rsidP="00CD451B">
            <w:pPr>
              <w:jc w:val="both"/>
            </w:pPr>
          </w:p>
          <w:p w:rsidR="00BD4584" w:rsidRDefault="00BD4584" w:rsidP="00CD451B">
            <w:pPr>
              <w:pStyle w:val="Paragraphedeliste"/>
              <w:numPr>
                <w:ilvl w:val="0"/>
                <w:numId w:val="10"/>
              </w:numPr>
              <w:jc w:val="both"/>
            </w:pPr>
            <w:r w:rsidRPr="00CD451B">
              <w:rPr>
                <w:rFonts w:ascii="Calibri" w:hAnsi="Calibri" w:cs="Arial"/>
                <w:color w:val="000000"/>
              </w:rPr>
              <w:t>Savoir développer une communication pertinente vis-à-vis des différents acteurs, notamment en sachant</w:t>
            </w:r>
            <w:r w:rsidRPr="00CD451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t>rendre compte, alerter, informer le Chef d’Etablissement et/ou les autres partenaires internes.</w:t>
            </w:r>
          </w:p>
          <w:p w:rsidR="00356071" w:rsidRDefault="00356071" w:rsidP="00CD451B">
            <w:pPr>
              <w:pStyle w:val="Paragraphedeliste"/>
              <w:numPr>
                <w:ilvl w:val="0"/>
                <w:numId w:val="10"/>
              </w:numPr>
              <w:jc w:val="both"/>
            </w:pPr>
            <w:r>
              <w:t>Savoir faire usage des systèmes d’information et de communication.</w:t>
            </w:r>
          </w:p>
          <w:p w:rsidR="00356071" w:rsidRDefault="00356071" w:rsidP="00BD4584"/>
          <w:p w:rsidR="00356071" w:rsidRPr="00B4235C" w:rsidRDefault="00356071" w:rsidP="00BD4584">
            <w:pPr>
              <w:rPr>
                <w:b/>
                <w:i/>
              </w:rPr>
            </w:pPr>
            <w:r w:rsidRPr="00B4235C">
              <w:rPr>
                <w:b/>
                <w:i/>
              </w:rPr>
              <w:t>4 – Les connaissances associées</w:t>
            </w:r>
          </w:p>
          <w:p w:rsidR="00356071" w:rsidRDefault="00356071" w:rsidP="00B4235C">
            <w:pPr>
              <w:jc w:val="both"/>
            </w:pPr>
          </w:p>
          <w:p w:rsidR="00356071" w:rsidRDefault="00356071" w:rsidP="00B4235C">
            <w:pPr>
              <w:pStyle w:val="Paragraphedeliste"/>
              <w:numPr>
                <w:ilvl w:val="0"/>
                <w:numId w:val="11"/>
              </w:numPr>
              <w:jc w:val="both"/>
            </w:pPr>
            <w:r>
              <w:t>Ingénierie de formation.</w:t>
            </w:r>
          </w:p>
          <w:p w:rsidR="00356071" w:rsidRDefault="00356071" w:rsidP="00B4235C">
            <w:pPr>
              <w:pStyle w:val="Paragraphedeliste"/>
              <w:numPr>
                <w:ilvl w:val="0"/>
                <w:numId w:val="11"/>
              </w:numPr>
              <w:jc w:val="both"/>
            </w:pPr>
            <w:r>
              <w:t>Pédagogie des adultes.</w:t>
            </w:r>
          </w:p>
          <w:p w:rsidR="00356071" w:rsidRDefault="00356071" w:rsidP="00B4235C">
            <w:pPr>
              <w:pStyle w:val="Paragraphedeliste"/>
              <w:numPr>
                <w:ilvl w:val="0"/>
                <w:numId w:val="11"/>
              </w:numPr>
              <w:jc w:val="both"/>
            </w:pPr>
            <w:r>
              <w:t>Méthodes d’évaluation des dispositifs de formation.</w:t>
            </w:r>
          </w:p>
          <w:p w:rsidR="00356071" w:rsidRDefault="00356071" w:rsidP="00B4235C">
            <w:pPr>
              <w:pStyle w:val="Paragraphedeliste"/>
              <w:numPr>
                <w:ilvl w:val="0"/>
                <w:numId w:val="11"/>
              </w:numPr>
              <w:jc w:val="both"/>
            </w:pPr>
            <w:r>
              <w:t>Cadre législatif et réglementaire de la formation paramédicale.</w:t>
            </w:r>
          </w:p>
          <w:p w:rsidR="00356071" w:rsidRDefault="00356071" w:rsidP="00B4235C">
            <w:pPr>
              <w:pStyle w:val="Paragraphedeliste"/>
              <w:numPr>
                <w:ilvl w:val="0"/>
                <w:numId w:val="11"/>
              </w:numPr>
              <w:jc w:val="both"/>
            </w:pPr>
            <w:r>
              <w:t>Techniques managériales.</w:t>
            </w:r>
          </w:p>
          <w:p w:rsidR="00356071" w:rsidRDefault="00356071" w:rsidP="00BD4584"/>
          <w:p w:rsidR="00356071" w:rsidRPr="00B4235C" w:rsidRDefault="00356071" w:rsidP="00BD4584">
            <w:pPr>
              <w:rPr>
                <w:b/>
                <w:i/>
              </w:rPr>
            </w:pPr>
            <w:r w:rsidRPr="00B4235C">
              <w:rPr>
                <w:b/>
                <w:i/>
              </w:rPr>
              <w:t xml:space="preserve">5 – autres </w:t>
            </w:r>
          </w:p>
          <w:p w:rsidR="00356071" w:rsidRDefault="00356071" w:rsidP="00BD4584"/>
          <w:p w:rsidR="00791F1E" w:rsidRDefault="00791F1E" w:rsidP="00B4235C">
            <w:pPr>
              <w:pStyle w:val="Paragraphedeliste"/>
              <w:numPr>
                <w:ilvl w:val="0"/>
                <w:numId w:val="12"/>
              </w:numPr>
            </w:pPr>
            <w:r>
              <w:t>Double expérience souhaitée en qualité de cadre de santé en unité de soins et de cadre formateur.</w:t>
            </w:r>
          </w:p>
          <w:p w:rsidR="00356071" w:rsidRDefault="00356071" w:rsidP="00B4235C">
            <w:pPr>
              <w:pStyle w:val="Paragraphedeliste"/>
              <w:numPr>
                <w:ilvl w:val="0"/>
                <w:numId w:val="12"/>
              </w:numPr>
            </w:pPr>
            <w:r>
              <w:t>Disposer des connaissances et compétences nécessaires à l’obtention de l’agrément en qualité de Directeur d’IFSI par la Région Auvergne-Rhône-Alpes</w:t>
            </w:r>
            <w:r w:rsidR="00B4235C">
              <w:t>.</w:t>
            </w:r>
          </w:p>
          <w:p w:rsidR="00BD4584" w:rsidRDefault="00BD4584" w:rsidP="00BD4584"/>
          <w:p w:rsidR="00BD4584" w:rsidRDefault="00BD4584" w:rsidP="00411484"/>
          <w:p w:rsidR="00241DDC" w:rsidRDefault="00241DDC" w:rsidP="00411484"/>
        </w:tc>
      </w:tr>
    </w:tbl>
    <w:p w:rsidR="003C2D20" w:rsidRDefault="003C2D20" w:rsidP="00411484"/>
    <w:sectPr w:rsidR="003C2D2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C92" w:rsidRDefault="00015C92" w:rsidP="00FE30CE">
      <w:pPr>
        <w:spacing w:after="0" w:line="240" w:lineRule="auto"/>
      </w:pPr>
      <w:r>
        <w:separator/>
      </w:r>
    </w:p>
  </w:endnote>
  <w:endnote w:type="continuationSeparator" w:id="0">
    <w:p w:rsidR="00015C92" w:rsidRDefault="00015C92" w:rsidP="00FE3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0CE" w:rsidRDefault="00FE30CE" w:rsidP="00FE30CE">
    <w:pPr>
      <w:pStyle w:val="Pieddepage"/>
      <w:ind w:left="-1134"/>
    </w:pPr>
    <w:r w:rsidRPr="00FE30CE">
      <w:rPr>
        <w:sz w:val="16"/>
        <w:szCs w:val="16"/>
      </w:rPr>
      <w:t>CHArMe / Fiche de poste Directeur(trice) IFSI-IFAS / mars 2017</w:t>
    </w:r>
    <w:r w:rsidRPr="00FE30CE">
      <w:rPr>
        <w:sz w:val="16"/>
        <w:szCs w:val="16"/>
      </w:rPr>
      <w:ptab w:relativeTo="margin" w:alignment="center" w:leader="none"/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7A7770">
      <w:rPr>
        <w:b/>
        <w:bCs/>
        <w:noProof/>
      </w:rPr>
      <w:t>1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7A7770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C92" w:rsidRDefault="00015C92" w:rsidP="00FE30CE">
      <w:pPr>
        <w:spacing w:after="0" w:line="240" w:lineRule="auto"/>
      </w:pPr>
      <w:r>
        <w:separator/>
      </w:r>
    </w:p>
  </w:footnote>
  <w:footnote w:type="continuationSeparator" w:id="0">
    <w:p w:rsidR="00015C92" w:rsidRDefault="00015C92" w:rsidP="00FE3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A14"/>
    <w:multiLevelType w:val="hybridMultilevel"/>
    <w:tmpl w:val="A790D6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33206"/>
    <w:multiLevelType w:val="hybridMultilevel"/>
    <w:tmpl w:val="78A24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25881"/>
    <w:multiLevelType w:val="hybridMultilevel"/>
    <w:tmpl w:val="0ED8D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737C8"/>
    <w:multiLevelType w:val="hybridMultilevel"/>
    <w:tmpl w:val="4A0E5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9174E"/>
    <w:multiLevelType w:val="hybridMultilevel"/>
    <w:tmpl w:val="710409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64A8B"/>
    <w:multiLevelType w:val="hybridMultilevel"/>
    <w:tmpl w:val="F16E9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151C4"/>
    <w:multiLevelType w:val="hybridMultilevel"/>
    <w:tmpl w:val="3CF27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974A38"/>
    <w:multiLevelType w:val="hybridMultilevel"/>
    <w:tmpl w:val="F0707C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83999"/>
    <w:multiLevelType w:val="hybridMultilevel"/>
    <w:tmpl w:val="E59E6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61676"/>
    <w:multiLevelType w:val="hybridMultilevel"/>
    <w:tmpl w:val="E9D07D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D137B3"/>
    <w:multiLevelType w:val="hybridMultilevel"/>
    <w:tmpl w:val="3D126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2C1C62"/>
    <w:multiLevelType w:val="hybridMultilevel"/>
    <w:tmpl w:val="292E49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1"/>
  </w:num>
  <w:num w:numId="5">
    <w:abstractNumId w:val="6"/>
  </w:num>
  <w:num w:numId="6">
    <w:abstractNumId w:val="10"/>
  </w:num>
  <w:num w:numId="7">
    <w:abstractNumId w:val="0"/>
  </w:num>
  <w:num w:numId="8">
    <w:abstractNumId w:val="3"/>
  </w:num>
  <w:num w:numId="9">
    <w:abstractNumId w:val="2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8E"/>
    <w:rsid w:val="00015C92"/>
    <w:rsid w:val="000B78E3"/>
    <w:rsid w:val="00124E4E"/>
    <w:rsid w:val="001B7156"/>
    <w:rsid w:val="00210F0F"/>
    <w:rsid w:val="00222612"/>
    <w:rsid w:val="00241DDC"/>
    <w:rsid w:val="002F5B97"/>
    <w:rsid w:val="00330C44"/>
    <w:rsid w:val="00352270"/>
    <w:rsid w:val="00356071"/>
    <w:rsid w:val="00370F91"/>
    <w:rsid w:val="003C2D20"/>
    <w:rsid w:val="003D5CE7"/>
    <w:rsid w:val="00411484"/>
    <w:rsid w:val="0043438E"/>
    <w:rsid w:val="005F7837"/>
    <w:rsid w:val="00715C02"/>
    <w:rsid w:val="00791F1E"/>
    <w:rsid w:val="007A13C8"/>
    <w:rsid w:val="007A7770"/>
    <w:rsid w:val="00882244"/>
    <w:rsid w:val="008C5D8C"/>
    <w:rsid w:val="00A31E01"/>
    <w:rsid w:val="00A7282C"/>
    <w:rsid w:val="00A8256C"/>
    <w:rsid w:val="00B2501B"/>
    <w:rsid w:val="00B4235C"/>
    <w:rsid w:val="00BD4584"/>
    <w:rsid w:val="00BE7E4D"/>
    <w:rsid w:val="00C3330B"/>
    <w:rsid w:val="00CD451B"/>
    <w:rsid w:val="00CE51B0"/>
    <w:rsid w:val="00D17F3D"/>
    <w:rsid w:val="00D2054E"/>
    <w:rsid w:val="00D33D93"/>
    <w:rsid w:val="00D97BAE"/>
    <w:rsid w:val="00E3351B"/>
    <w:rsid w:val="00EE25D9"/>
    <w:rsid w:val="00F136AE"/>
    <w:rsid w:val="00FC770F"/>
    <w:rsid w:val="00FE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34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E3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30CE"/>
  </w:style>
  <w:style w:type="paragraph" w:styleId="Pieddepage">
    <w:name w:val="footer"/>
    <w:basedOn w:val="Normal"/>
    <w:link w:val="PieddepageCar"/>
    <w:uiPriority w:val="99"/>
    <w:unhideWhenUsed/>
    <w:rsid w:val="00FE3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30CE"/>
  </w:style>
  <w:style w:type="paragraph" w:styleId="Paragraphedeliste">
    <w:name w:val="List Paragraph"/>
    <w:basedOn w:val="Normal"/>
    <w:uiPriority w:val="34"/>
    <w:qFormat/>
    <w:rsid w:val="00C33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34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E3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30CE"/>
  </w:style>
  <w:style w:type="paragraph" w:styleId="Pieddepage">
    <w:name w:val="footer"/>
    <w:basedOn w:val="Normal"/>
    <w:link w:val="PieddepageCar"/>
    <w:uiPriority w:val="99"/>
    <w:unhideWhenUsed/>
    <w:rsid w:val="00FE3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30CE"/>
  </w:style>
  <w:style w:type="paragraph" w:styleId="Paragraphedeliste">
    <w:name w:val="List Paragraph"/>
    <w:basedOn w:val="Normal"/>
    <w:uiPriority w:val="34"/>
    <w:qFormat/>
    <w:rsid w:val="00C33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Gans Thierry</dc:creator>
  <cp:lastModifiedBy>Utilisateur Windows</cp:lastModifiedBy>
  <cp:revision>2</cp:revision>
  <dcterms:created xsi:type="dcterms:W3CDTF">2017-03-28T13:22:00Z</dcterms:created>
  <dcterms:modified xsi:type="dcterms:W3CDTF">2017-03-28T13:22:00Z</dcterms:modified>
</cp:coreProperties>
</file>